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QuillStack Systems — Feature Fable Delivery Update</w:t>
      </w:r>
    </w:p>
    <w:p>
      <w:r>
        <w:t>Date: February 18, 2026</w:t>
      </w:r>
    </w:p>
    <w:p>
      <w:r>
        <w:t>Prepared by: Product Management</w:t>
      </w:r>
    </w:p>
    <w:p/>
    <w:p>
      <w:pPr>
        <w:pStyle w:val="Heading2"/>
      </w:pPr>
      <w:r>
        <w:t>Feature Overview</w:t>
      </w:r>
    </w:p>
    <w:p>
      <w:r>
        <w:t>Feature Fable introduces dynamic workflow branching, allowing enterprise customers to configure conditional routing in QuillStack reports without custom code.</w:t>
      </w:r>
    </w:p>
    <w:p>
      <w:pPr>
        <w:pStyle w:val="Heading2"/>
      </w:pPr>
      <w:r>
        <w:t>Target Ship Date</w:t>
      </w:r>
    </w:p>
    <w:p>
      <w:r>
        <w:t>The Q1 roadmap deck (presented to customers and investors in January 2026) lists Fable's GA target as May 2026. The current sprint log (as of Sprint 8 completed Feb 14) forecasts a June 2026 release due to additional testing requirements for multi-tenant data isolation. Customer-facing communication will be updated once the engineering team confirms the revised forecast at the February 24 sprint review.</w:t>
      </w:r>
    </w:p>
    <w:p>
      <w:pPr>
        <w:pStyle w:val="Heading2"/>
      </w:pPr>
      <w:r>
        <w:t>Status by Workstream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branching logic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UI configuration panel</w:t>
            </w:r>
          </w:p>
        </w:tc>
        <w:tc>
          <w:tcPr>
            <w:tcW w:type="dxa" w:w="4320"/>
          </w:tcPr>
          <w:p>
            <w:r>
              <w:t>In progress — 70%</w:t>
            </w:r>
          </w:p>
        </w:tc>
      </w:tr>
      <w:tr>
        <w:tc>
          <w:tcPr>
            <w:tcW w:type="dxa" w:w="4320"/>
          </w:tcPr>
          <w:p>
            <w:r>
              <w:t>Multi-tenant isolation testing</w:t>
            </w:r>
          </w:p>
        </w:tc>
        <w:tc>
          <w:tcPr>
            <w:tcW w:type="dxa" w:w="4320"/>
          </w:tcPr>
          <w:p>
            <w:r>
              <w:t>Not started — begins Sprint 9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Beta customer onboarding</w:t>
            </w:r>
          </w:p>
        </w:tc>
        <w:tc>
          <w:tcPr>
            <w:tcW w:type="dxa" w:w="4320"/>
          </w:tcPr>
          <w:p>
            <w:r>
              <w:t>Scheduled post-GA</w:t>
            </w:r>
          </w:p>
        </w:tc>
      </w:tr>
    </w:tbl>
    <w:p/>
    <w:p>
      <w:pPr>
        <w:pStyle w:val="Heading2"/>
      </w:pPr>
      <w:r>
        <w:t>Risks</w:t>
      </w:r>
    </w:p>
    <w:p>
      <w:pPr>
        <w:pStyle w:val="ListBullet"/>
      </w:pPr>
      <w:r>
        <w:t>Multi-tenant testing is the critical path item — any slip extends the June target.</w:t>
      </w:r>
    </w:p>
    <w:p>
      <w:pPr>
        <w:pStyle w:val="ListBullet"/>
      </w:pPr>
      <w:r>
        <w:t>Two beta customers (Harlan Corp, Meridian Trust) expecting May access; will need proactive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