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Beaconline Construction Co. — Project Status Memo</w:t>
      </w:r>
    </w:p>
    <w:p>
      <w:r>
        <w:t>Project: Harborview Office Park TI — Suite 400</w:t>
      </w:r>
    </w:p>
    <w:p>
      <w:r>
        <w:t>Date: February 17, 2026</w:t>
      </w:r>
    </w:p>
    <w:p>
      <w:r>
        <w:t>Prepared by: Sara Ito, Senior PM</w:t>
      </w:r>
    </w:p>
    <w:p/>
    <w:p>
      <w:pPr>
        <w:pStyle w:val="Heading2"/>
      </w:pPr>
      <w:r>
        <w:t>Schedule</w:t>
      </w:r>
    </w:p>
    <w:p>
      <w:r>
        <w:t>As of this memo, the project is tracking toward a Substantial Completion target of March 28, 2026, per the agreed milestone schedule communicated to the owner in the February 10 weekly meeting.</w:t>
      </w:r>
    </w:p>
    <w:p>
      <w:r>
        <w:t>Note: The schedule XLSX (Rev 4, issued February 3) reflects a re-baselined Substantial Completion of April 5, 2026 due to the delayed delivery of the custom millwork package. There is a discrepancy between the date communicated verbally and the current schedule file. Sara Ito to present updated schedule to owner at the February 24 OAC meeting.</w:t>
      </w:r>
    </w:p>
    <w:p>
      <w:pPr>
        <w:pStyle w:val="Heading2"/>
      </w:pPr>
      <w:r>
        <w:t>Change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 #1 — Electrical panel upgrade</w:t>
            </w:r>
          </w:p>
        </w:tc>
        <w:tc>
          <w:tcPr>
            <w:tcW w:type="dxa" w:w="4320"/>
          </w:tcPr>
          <w:p>
            <w:r>
              <w:t>$28,400 — Executed</w:t>
            </w:r>
          </w:p>
        </w:tc>
      </w:tr>
      <w:tr>
        <w:tc>
          <w:tcPr>
            <w:tcW w:type="dxa" w:w="4320"/>
          </w:tcPr>
          <w:p>
            <w:r>
              <w:t>CO #2 — Additional data drops (8)</w:t>
            </w:r>
          </w:p>
        </w:tc>
        <w:tc>
          <w:tcPr>
            <w:tcW w:type="dxa" w:w="4320"/>
          </w:tcPr>
          <w:p>
            <w:r>
              <w:t>$14,200 — Executed</w:t>
            </w:r>
          </w:p>
        </w:tc>
      </w:tr>
      <w:tr>
        <w:tc>
          <w:tcPr>
            <w:tcW w:type="dxa" w:w="4320"/>
          </w:tcPr>
          <w:p>
            <w:r>
              <w:t>CO #3 — Flooring upgrade (owner)</w:t>
            </w:r>
          </w:p>
        </w:tc>
        <w:tc>
          <w:tcPr>
            <w:tcW w:type="dxa" w:w="4320"/>
          </w:tcPr>
          <w:p>
            <w:r>
              <w:t>$31,800 — Executed</w:t>
            </w:r>
          </w:p>
        </w:tc>
      </w:tr>
      <w:tr>
        <w:tc>
          <w:tcPr>
            <w:tcW w:type="dxa" w:w="4320"/>
          </w:tcPr>
          <w:p>
            <w:r>
              <w:t>CO #4 — Millwork revision</w:t>
            </w:r>
          </w:p>
        </w:tc>
        <w:tc>
          <w:tcPr>
            <w:tcW w:type="dxa" w:w="4320"/>
          </w:tcPr>
          <w:p>
            <w:r>
              <w:t>$44,000 — Executed</w:t>
            </w:r>
          </w:p>
        </w:tc>
      </w:tr>
      <w:tr>
        <w:tc>
          <w:tcPr>
            <w:tcW w:type="dxa" w:w="4320"/>
          </w:tcPr>
          <w:p>
            <w:r>
              <w:t>CO #5 — Fire sprinkler relocation</w:t>
            </w:r>
          </w:p>
        </w:tc>
        <w:tc>
          <w:tcPr>
            <w:tcW w:type="dxa" w:w="4320"/>
          </w:tcPr>
          <w:p>
            <w:r>
              <w:t>$Pending — in review</w:t>
            </w:r>
          </w:p>
        </w:tc>
      </w:tr>
      <w:tr>
        <w:tc>
          <w:tcPr>
            <w:tcW w:type="dxa" w:w="4320"/>
          </w:tcPr>
          <w:p>
            <w:r>
              <w:t>CO Log Total (executed)</w:t>
            </w:r>
          </w:p>
        </w:tc>
        <w:tc>
          <w:tcPr>
            <w:tcW w:type="dxa" w:w="4320"/>
          </w:tcPr>
          <w:p>
            <w:r>
              <w:t>$118,400</w:t>
            </w:r>
          </w:p>
        </w:tc>
      </w:tr>
    </w:tbl>
    <w:p/>
    <w:p>
      <w:r>
        <w:t>Note: The owner's representative referenced a total change order value of $124,900 in their February 10 email. This figure appears to include CO #5 (pending, not executed). Beaconline's executed CO total is $118,400.</w:t>
      </w:r>
    </w:p>
    <w:p>
      <w:pPr>
        <w:pStyle w:val="Heading2"/>
      </w:pPr>
      <w:r>
        <w:t>Budget / Margin</w:t>
      </w:r>
    </w:p>
    <w:p>
      <w:r>
        <w:t>PM cost report projects a 6% fee margin at completion. Accounting WIP worksheet (Controller Priyanka Nair) shows tighter margin in the 3–4% range based on actual cost-to-date vs. revised budget. Will reconcile at next monthly owner billing cycle (March 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