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Northlake Advisory Group — Engagement Status Report</w:t>
      </w:r>
    </w:p>
    <w:p>
      <w:r>
        <w:t>Date: February 10, 2026</w:t>
      </w:r>
    </w:p>
    <w:p>
      <w:r>
        <w:t>Prepared by: Casey Nguyen, Engagement Manager</w:t>
      </w:r>
    </w:p>
    <w:p/>
    <w:p>
      <w:pPr>
        <w:pStyle w:val="Heading2"/>
      </w:pPr>
      <w:r>
        <w:t>Active Engagements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Cascade Logistics (Codename: Ironwood)</w:t>
            </w:r>
          </w:p>
        </w:tc>
        <w:tc>
          <w:tcPr>
            <w:tcW w:type="dxa" w:w="4320"/>
          </w:tcPr>
          <w:p>
            <w:r>
              <w:t>In delivery — Week 6 of 12</w:t>
            </w:r>
          </w:p>
        </w:tc>
      </w:tr>
      <w:tr>
        <w:tc>
          <w:tcPr>
            <w:tcW w:type="dxa" w:w="4320"/>
          </w:tcPr>
          <w:p>
            <w:r>
              <w:t>Pacific Health Partners (Codename: Elm)</w:t>
            </w:r>
          </w:p>
        </w:tc>
        <w:tc>
          <w:tcPr>
            <w:tcW w:type="dxa" w:w="4320"/>
          </w:tcPr>
          <w:p>
            <w:r>
              <w:t>Kickoff complete — discovery underway</w:t>
            </w:r>
          </w:p>
        </w:tc>
      </w:tr>
      <w:tr>
        <w:tc>
          <w:tcPr>
            <w:tcW w:type="dxa" w:w="4320"/>
          </w:tcPr>
          <w:p>
            <w:r>
              <w:t>Regent Capital (Codename: Birch)</w:t>
            </w:r>
          </w:p>
        </w:tc>
        <w:tc>
          <w:tcPr>
            <w:tcW w:type="dxa" w:w="4320"/>
          </w:tcPr>
          <w:p>
            <w:r>
              <w:t>Proposal submitted — decision expected Feb 20</w:t>
            </w:r>
          </w:p>
        </w:tc>
      </w:tr>
      <w:tr>
        <w:tc>
          <w:tcPr>
            <w:tcW w:type="dxa" w:w="4320"/>
          </w:tcPr>
          <w:p>
            <w:r>
              <w:t>Thornton Manufacturing</w:t>
            </w:r>
          </w:p>
        </w:tc>
        <w:tc>
          <w:tcPr>
            <w:tcW w:type="dxa" w:w="4320"/>
          </w:tcPr>
          <w:p>
            <w:r>
              <w:t>Retainer active — monthly advisory</w:t>
            </w:r>
          </w:p>
        </w:tc>
      </w:tr>
    </w:tbl>
    <w:p/>
    <w:p>
      <w:pPr>
        <w:pStyle w:val="Heading2"/>
      </w:pPr>
      <w:r>
        <w:t>Cascade Logistics — Utilization Note</w:t>
      </w:r>
    </w:p>
    <w:p>
      <w:r>
        <w:t>The practice dashboard shows 78% consultant utilization for January. However, Morgan Lee spent approximately 30 hours on the Cascade engagement doing internal model builds that were coded as 'internal development' rather than client-billable. If reclassified, utilization for January would be closer to 71%. Elena Park and Finance have been notified; coding will be corrected going forward.</w:t>
      </w:r>
    </w:p>
    <w:p>
      <w:pPr>
        <w:pStyle w:val="Heading2"/>
      </w:pPr>
      <w:r>
        <w:t>Key Risks</w:t>
      </w:r>
    </w:p>
    <w:p>
      <w:pPr>
        <w:pStyle w:val="ListBullet"/>
      </w:pPr>
      <w:r>
        <w:t>Regent Capital decision is delayed — Birch pipeline revenue is at risk for Q1.</w:t>
      </w:r>
    </w:p>
    <w:p>
      <w:pPr>
        <w:pStyle w:val="ListBullet"/>
      </w:pPr>
      <w:r>
        <w:t>Pacific Health data access issues (IT procurement) may push discovery by 1 week.</w:t>
      </w:r>
    </w:p>
    <w:p>
      <w:pPr>
        <w:pStyle w:val="ListBullet"/>
      </w:pPr>
      <w:r>
        <w:t>Priya Shah at capacity; no additional engagements before March.</w:t>
      </w:r>
    </w:p>
    <w:p>
      <w:pPr>
        <w:pStyle w:val="Heading2"/>
      </w:pPr>
      <w:r>
        <w:t>Open Items</w:t>
      </w:r>
    </w:p>
    <w:p>
      <w:pPr>
        <w:pStyle w:val="ListBullet"/>
      </w:pPr>
      <w:r>
        <w:t>Elena Park to send Regent Capital follow-up by Feb 12.</w:t>
      </w:r>
    </w:p>
    <w:p>
      <w:pPr>
        <w:pStyle w:val="ListBullet"/>
      </w:pPr>
      <w:r>
        <w:t>Casey Nguyen to update scope memo for Pacific Health by Feb 14.</w:t>
      </w:r>
    </w:p>
    <w:p>
      <w:pPr>
        <w:pStyle w:val="ListBullet"/>
      </w:pPr>
      <w:r>
        <w:t>Finance to reclass Morgan Lee hours in January time log.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