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Mesa Ridge Urgent &amp; Primary Care — January 2026 Operations Report</w:t>
      </w:r>
    </w:p>
    <w:p>
      <w:r>
        <w:t>Prepared by: Ryan Patel, Ops Manager</w:t>
      </w:r>
    </w:p>
    <w:p>
      <w:r>
        <w:t>Date: February 5, 2026</w:t>
      </w:r>
    </w:p>
    <w:p/>
    <w:p>
      <w:pPr>
        <w:pStyle w:val="Heading2"/>
      </w:pPr>
      <w:r>
        <w:t>Volume Across 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Visits</w:t>
            </w:r>
          </w:p>
        </w:tc>
      </w:tr>
      <w:tr>
        <w:tc>
          <w:tcPr>
            <w:tcW w:type="dxa" w:w="4320"/>
          </w:tcPr>
          <w:p>
            <w:r>
              <w:t>Mesa North</w:t>
            </w:r>
          </w:p>
        </w:tc>
        <w:tc>
          <w:tcPr>
            <w:tcW w:type="dxa" w:w="4320"/>
          </w:tcPr>
          <w:p>
            <w:r>
              <w:t>1,104</w:t>
            </w:r>
          </w:p>
        </w:tc>
      </w:tr>
      <w:tr>
        <w:tc>
          <w:tcPr>
            <w:tcW w:type="dxa" w:w="4320"/>
          </w:tcPr>
          <w:p>
            <w:r>
              <w:t>Mesa Central</w:t>
            </w:r>
          </w:p>
        </w:tc>
        <w:tc>
          <w:tcPr>
            <w:tcW w:type="dxa" w:w="4320"/>
          </w:tcPr>
          <w:p>
            <w:r>
              <w:t>892</w:t>
            </w:r>
          </w:p>
        </w:tc>
      </w:tr>
      <w:tr>
        <w:tc>
          <w:tcPr>
            <w:tcW w:type="dxa" w:w="4320"/>
          </w:tcPr>
          <w:p>
            <w:r>
              <w:t>Ridgeline</w:t>
            </w:r>
          </w:p>
        </w:tc>
        <w:tc>
          <w:tcPr>
            <w:tcW w:type="dxa" w:w="4320"/>
          </w:tcPr>
          <w:p>
            <w:r>
              <w:t>743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2,739</w:t>
            </w:r>
          </w:p>
        </w:tc>
      </w:tr>
    </w:tbl>
    <w:p/>
    <w:p>
      <w:pPr>
        <w:pStyle w:val="Heading2"/>
      </w:pPr>
      <w:r>
        <w:t>No-Show Rate</w:t>
      </w:r>
    </w:p>
    <w:p>
      <w:r>
        <w:t>Ops tracking (which excludes late-cancel appointments) shows a network-wide no-show rate of 5.8% for January. Site managers at Mesa North and Ridgeline have flagged that their local tracking includes late cancels (within 2 hours of appointment), which brings their combined no-show figure to approximately 8.1%. Elise Grant (billing) uses the higher definition for revenue cycle projections. Ryan Patel to propose unified definition at February ops meeting.</w:t>
      </w:r>
    </w:p>
    <w:p>
      <w:pPr>
        <w:pStyle w:val="Heading2"/>
      </w:pPr>
      <w:r>
        <w:t>Staffing</w:t>
      </w:r>
    </w:p>
    <w:p>
      <w:r>
        <w:t>All three sites fully staffed. Two MA positions at Mesa Central filled in January (start dates Jan 6 and Jan 13). Tasha Nguyen to update the staffing model spreadsheet to reflect new hires.</w:t>
      </w:r>
    </w:p>
    <w:p>
      <w:pPr>
        <w:pStyle w:val="Heading2"/>
      </w:pPr>
      <w:r>
        <w:t>Billing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Network collections (Jan, est.)</w:t>
            </w:r>
          </w:p>
        </w:tc>
        <w:tc>
          <w:tcPr>
            <w:tcW w:type="dxa" w:w="4320"/>
          </w:tcPr>
          <w:p>
            <w:r>
              <w:t>$318,000</w:t>
            </w:r>
          </w:p>
        </w:tc>
      </w:tr>
      <w:tr>
        <w:tc>
          <w:tcPr>
            <w:tcW w:type="dxa" w:w="4320"/>
          </w:tcPr>
          <w:p>
            <w:r>
              <w:t>Finance summary (Jan, preliminary)</w:t>
            </w:r>
          </w:p>
        </w:tc>
        <w:tc>
          <w:tcPr>
            <w:tcW w:type="dxa" w:w="4320"/>
          </w:tcPr>
          <w:p>
            <w:r>
              <w:t>$310,500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~$7,500 — timing of posted payments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