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Birchline Insights — Engagement Scoping Memo</w:t>
      </w:r>
    </w:p>
    <w:p>
      <w:r>
        <w:t>Date: January 6, 2026</w:t>
      </w:r>
    </w:p>
    <w:p>
      <w:r>
        <w:t>Project: Redwood Freight Co. — Network Optimization</w:t>
      </w:r>
    </w:p>
    <w:p>
      <w:r>
        <w:t>Prepared by: Avery Hart, Principal</w:t>
      </w:r>
    </w:p>
    <w:p/>
    <w:p>
      <w:pPr>
        <w:pStyle w:val="Heading2"/>
      </w:pPr>
      <w:r>
        <w:t>Engagement Summary</w:t>
      </w:r>
    </w:p>
    <w:p>
      <w:r>
        <w:t>This memo confirms the agreed scope of work between Birchline Insights and Redwood Freight Co. following the contract kickoff call on January 5, 2026.</w:t>
      </w:r>
    </w:p>
    <w:p>
      <w:pPr>
        <w:pStyle w:val="Heading2"/>
      </w:pPr>
      <w:r>
        <w:t>Agreed Scope</w:t>
      </w:r>
    </w:p>
    <w:p>
      <w:r>
        <w:t>Per the executed Statement of Work (SOW) dated December 18, 2025, this engagement is a 6-week discovery and diagnostic only. Deliverables include a current-state network map, a root-cause analysis of routing inefficiencies, and a set of prioritized recommendations. No implementation work is included in scope.</w:t>
      </w:r>
    </w:p>
    <w:p>
      <w:pPr>
        <w:pStyle w:val="Heading2"/>
      </w:pPr>
      <w:r>
        <w:t>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January 6, 2026</w:t>
            </w:r>
          </w:p>
        </w:tc>
      </w:tr>
      <w:tr>
        <w:tc>
          <w:tcPr>
            <w:tcW w:type="dxa" w:w="4320"/>
          </w:tcPr>
          <w:p>
            <w:r>
              <w:t>Discovery complete</w:t>
            </w:r>
          </w:p>
        </w:tc>
        <w:tc>
          <w:tcPr>
            <w:tcW w:type="dxa" w:w="4320"/>
          </w:tcPr>
          <w:p>
            <w:r>
              <w:t>February 14, 2026</w:t>
            </w:r>
          </w:p>
        </w:tc>
      </w:tr>
      <w:tr>
        <w:tc>
          <w:tcPr>
            <w:tcW w:type="dxa" w:w="4320"/>
          </w:tcPr>
          <w:p>
            <w:r>
              <w:t>Draft deliverable deck</w:t>
            </w:r>
          </w:p>
        </w:tc>
        <w:tc>
          <w:tcPr>
            <w:tcW w:type="dxa" w:w="4320"/>
          </w:tcPr>
          <w:p>
            <w:r>
              <w:t>February 21, 2026</w:t>
            </w:r>
          </w:p>
        </w:tc>
      </w:tr>
      <w:tr>
        <w:tc>
          <w:tcPr>
            <w:tcW w:type="dxa" w:w="4320"/>
          </w:tcPr>
          <w:p>
            <w:r>
              <w:t>Final deliverable</w:t>
            </w:r>
          </w:p>
        </w:tc>
        <w:tc>
          <w:tcPr>
            <w:tcW w:type="dxa" w:w="4320"/>
          </w:tcPr>
          <w:p>
            <w:r>
              <w:t>February 28, 2026</w:t>
            </w:r>
          </w:p>
        </w:tc>
      </w:tr>
    </w:tbl>
    <w:p/>
    <w:p>
      <w:pPr>
        <w:pStyle w:val="Heading2"/>
      </w:pPr>
      <w:r>
        <w:t>Budget</w:t>
      </w:r>
    </w:p>
    <w:p>
      <w:r>
        <w:t>Estimated effort: 130–150 hours across the Birchline team. Fixed fee per SOW: $28,500. No change orders are anticipated at this time.</w:t>
      </w:r>
    </w:p>
    <w:p>
      <w:pPr>
        <w:pStyle w:val="Heading2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</w:t>
            </w:r>
          </w:p>
        </w:tc>
        <w:tc>
          <w:tcPr>
            <w:tcW w:type="dxa" w:w="4320"/>
          </w:tcPr>
          <w:p>
            <w:r>
              <w:t>Avery Hart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Jordan Ng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Casey Moore</w:t>
            </w:r>
          </w:p>
        </w:tc>
      </w:tr>
    </w:tbl>
    <w:p/>
    <w:p>
      <w:pPr>
        <w:pStyle w:val="Heading2"/>
      </w:pPr>
      <w:r>
        <w:t>Notes</w:t>
      </w:r>
    </w:p>
    <w:p>
      <w:r>
        <w:t>Client requested preliminary feasibility discussion on route optimization software implementation during kickoff call. This is noted but is not in scope. Any implementation work would require a separate SOW and additional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