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Birchline Insights — Hours &amp; Invoice Reconciliation Note</w:t>
      </w:r>
    </w:p>
    <w:p>
      <w:r>
        <w:t>Date: February 3, 2026</w:t>
      </w:r>
    </w:p>
    <w:p>
      <w:r>
        <w:t>Prepared by: Priya Desai, Fractional Finance</w:t>
      </w:r>
    </w:p>
    <w:p/>
    <w:p>
      <w:pPr>
        <w:pStyle w:val="Heading2"/>
      </w:pPr>
      <w:r>
        <w:t>Purpose</w:t>
      </w:r>
    </w:p>
    <w:p>
      <w:r>
        <w:t>This note documents the reconciliation between tracked hours in the timesheet system and hours billed on Invoice #INV-2026-01 for the Redwood Freight engagement.</w:t>
      </w:r>
    </w:p>
    <w:p>
      <w:pPr>
        <w:pStyle w:val="Heading2"/>
      </w:pPr>
      <w:r>
        <w:t>Hours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Timesheet total (Jan)</w:t>
            </w:r>
          </w:p>
        </w:tc>
        <w:tc>
          <w:tcPr>
            <w:tcW w:type="dxa" w:w="4320"/>
          </w:tcPr>
          <w:p>
            <w:r>
              <w:t>148 hours</w:t>
            </w:r>
          </w:p>
        </w:tc>
      </w:tr>
      <w:tr>
        <w:tc>
          <w:tcPr>
            <w:tcW w:type="dxa" w:w="4320"/>
          </w:tcPr>
          <w:p>
            <w:r>
              <w:t>Hours invoiced</w:t>
            </w:r>
          </w:p>
        </w:tc>
        <w:tc>
          <w:tcPr>
            <w:tcW w:type="dxa" w:w="4320"/>
          </w:tcPr>
          <w:p>
            <w:r>
              <w:t>132 hours</w:t>
            </w:r>
          </w:p>
        </w:tc>
      </w:tr>
      <w:tr>
        <w:tc>
          <w:tcPr>
            <w:tcW w:type="dxa" w:w="4320"/>
          </w:tcPr>
          <w:p>
            <w:r>
              <w:t>Difference</w:t>
            </w:r>
          </w:p>
        </w:tc>
        <w:tc>
          <w:tcPr>
            <w:tcW w:type="dxa" w:w="4320"/>
          </w:tcPr>
          <w:p>
            <w:r>
              <w:t>16 hours</w:t>
            </w:r>
          </w:p>
        </w:tc>
      </w:tr>
      <w:tr>
        <w:tc>
          <w:tcPr>
            <w:tcW w:type="dxa" w:w="4320"/>
          </w:tcPr>
          <w:p>
            <w:r>
              <w:t>Write-off reason</w:t>
            </w:r>
          </w:p>
        </w:tc>
        <w:tc>
          <w:tcPr>
            <w:tcW w:type="dxa" w:w="4320"/>
          </w:tcPr>
          <w:p>
            <w:r>
              <w:t>Non-billable ramp / internal review</w:t>
            </w:r>
          </w:p>
        </w:tc>
      </w:tr>
    </w:tbl>
    <w:p/>
    <w:p>
      <w:pPr>
        <w:pStyle w:val="Heading2"/>
      </w:pPr>
      <w:r>
        <w:t>Detail</w:t>
      </w:r>
    </w:p>
    <w:p>
      <w:r>
        <w:t>Avery Hart logged 8 hours of business development calls with Redwood that were excluded from the invoice per firm policy (BD time is non-billable). Casey Moore's 6 hours of internal QA review of deliverable slides were also excluded. Jordan Ng's 2 hours of admin/scheduling are written off.</w:t>
      </w:r>
    </w:p>
    <w:p>
      <w:r>
        <w:t>The invoice reflects 132 billable hours. No dispute with client is anticipated. Final invoice total: $28,500 fixed fee (hours-based rate card not applied).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Redwood PO number for invoice.</w:t>
      </w:r>
    </w:p>
    <w:p>
      <w:pPr>
        <w:pStyle w:val="ListBullet"/>
      </w:pPr>
      <w:r>
        <w:t>Send final deliverable deck before invoice payment terms begin (Net 30).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