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Pinecrest Family Clinic — Monthly Operations Summary</w:t>
      </w:r>
    </w:p>
    <w:p>
      <w:r>
        <w:t>Month: January 2026</w:t>
      </w:r>
    </w:p>
    <w:p>
      <w:r>
        <w:t>Prepared by: Jordan Kim, Office Manager</w:t>
      </w:r>
    </w:p>
    <w:p/>
    <w:p>
      <w:pPr>
        <w:pStyle w:val="Heading2"/>
      </w:pPr>
      <w:r>
        <w:t>Volume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visits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New patients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Cancellations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No-shows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No-show rate</w:t>
            </w:r>
          </w:p>
        </w:tc>
        <w:tc>
          <w:tcPr>
            <w:tcW w:type="dxa" w:w="4320"/>
          </w:tcPr>
          <w:p>
            <w:r>
              <w:t>4.6%</w:t>
            </w:r>
          </w:p>
        </w:tc>
      </w:tr>
    </w:tbl>
    <w:p/>
    <w:p>
      <w:pPr>
        <w:pStyle w:val="Heading2"/>
      </w:pPr>
      <w:r>
        <w:t>Billing Snapshot</w:t>
      </w:r>
    </w:p>
    <w:p>
      <w:r>
        <w:t>Collections for January are expected to close at approximately $82,000 — slightly below the $85,000 forecast due to a processing delay from one of our larger payers (Blue Shield batch held for January cycle). ClearPath Billing has confirmed the batch will release in February.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Gross charges</w:t>
            </w:r>
          </w:p>
        </w:tc>
        <w:tc>
          <w:tcPr>
            <w:tcW w:type="dxa" w:w="4320"/>
          </w:tcPr>
          <w:p>
            <w:r>
              <w:t>$118,400</w:t>
            </w:r>
          </w:p>
        </w:tc>
      </w:tr>
      <w:tr>
        <w:tc>
          <w:tcPr>
            <w:tcW w:type="dxa" w:w="4320"/>
          </w:tcPr>
          <w:p>
            <w:r>
              <w:t>Expected collections (Jan)</w:t>
            </w:r>
          </w:p>
        </w:tc>
        <w:tc>
          <w:tcPr>
            <w:tcW w:type="dxa" w:w="4320"/>
          </w:tcPr>
          <w:p>
            <w:r>
              <w:t>$82,000</w:t>
            </w:r>
          </w:p>
        </w:tc>
      </w:tr>
      <w:tr>
        <w:tc>
          <w:tcPr>
            <w:tcW w:type="dxa" w:w="4320"/>
          </w:tcPr>
          <w:p>
            <w:r>
              <w:t>Variance vs forecast</w:t>
            </w:r>
          </w:p>
        </w:tc>
        <w:tc>
          <w:tcPr>
            <w:tcW w:type="dxa" w:w="4320"/>
          </w:tcPr>
          <w:p>
            <w:r>
              <w:t>-$3,000 (insurer delay)</w:t>
            </w:r>
          </w:p>
        </w:tc>
      </w:tr>
      <w:tr>
        <w:tc>
          <w:tcPr>
            <w:tcW w:type="dxa" w:w="4320"/>
          </w:tcPr>
          <w:p>
            <w:r>
              <w:t>Outstanding AR &gt;90 days</w:t>
            </w:r>
          </w:p>
        </w:tc>
        <w:tc>
          <w:tcPr>
            <w:tcW w:type="dxa" w:w="4320"/>
          </w:tcPr>
          <w:p>
            <w:r>
              <w:t>$6,200</w:t>
            </w:r>
          </w:p>
        </w:tc>
      </w:tr>
    </w:tbl>
    <w:p/>
    <w:p>
      <w:pPr>
        <w:pStyle w:val="Heading2"/>
      </w:pPr>
      <w:r>
        <w:t>Staffing</w:t>
      </w:r>
    </w:p>
    <w:p>
      <w:r>
        <w:t>No staffing changes in January. Dr. Vargas was out Jan 14–15 (conference); Maya Singh handled patient scheduling coverage with no complaints.</w:t>
      </w:r>
    </w:p>
    <w:p>
      <w:pPr>
        <w:pStyle w:val="Heading2"/>
      </w:pPr>
      <w:r>
        <w:t>Open Items</w:t>
      </w:r>
    </w:p>
    <w:p>
      <w:pPr>
        <w:pStyle w:val="ListBullet"/>
      </w:pPr>
      <w:r>
        <w:t>HIPAA refresher training due for Maya Singh by Feb 28.</w:t>
      </w:r>
    </w:p>
    <w:p>
      <w:pPr>
        <w:pStyle w:val="ListBullet"/>
      </w:pPr>
      <w:r>
        <w:t>Confirm Blue Shield payment posting with ClearPath by Feb 10.</w:t>
      </w:r>
    </w:p>
    <w:p>
      <w:pPr>
        <w:pStyle w:val="ListBullet"/>
      </w:pPr>
      <w:r>
        <w:t>Schedule quarterly patient satisfaction review — target March.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