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SummitSpan Builders Group — Enterprise Project Summary</w:t>
      </w:r>
    </w:p>
    <w:p>
      <w:r>
        <w:t>Report Period: February 2026</w:t>
      </w:r>
    </w:p>
    <w:p>
      <w:r>
        <w:t>Prepared by: PMO</w:t>
      </w:r>
    </w:p>
    <w:p/>
    <w:p>
      <w:pPr>
        <w:pStyle w:val="Heading2"/>
      </w:pPr>
      <w:r>
        <w:t>Active Projects — Schedule Highlights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Substantial Completion</w:t>
            </w:r>
          </w:p>
        </w:tc>
      </w:tr>
      <w:tr>
        <w:tc>
          <w:tcPr>
            <w:tcW w:type="dxa" w:w="4320"/>
          </w:tcPr>
          <w:p>
            <w:r>
              <w:t>Cascade Tower (Portland)</w:t>
            </w:r>
          </w:p>
        </w:tc>
        <w:tc>
          <w:tcPr>
            <w:tcW w:type="dxa" w:w="4320"/>
          </w:tcPr>
          <w:p>
            <w:r>
              <w:t>July 15, 2026 — per PM weekly notes</w:t>
            </w:r>
          </w:p>
        </w:tc>
      </w:tr>
      <w:tr>
        <w:tc>
          <w:tcPr>
            <w:tcW w:type="dxa" w:w="4320"/>
          </w:tcPr>
          <w:p>
            <w:r>
              <w:t>Cascade Tower (Portland)</w:t>
            </w:r>
          </w:p>
        </w:tc>
        <w:tc>
          <w:tcPr>
            <w:tcW w:type="dxa" w:w="4320"/>
          </w:tcPr>
          <w:p>
            <w:r>
              <w:t>August 2, 2026 — per master schedule (re-baselined)</w:t>
            </w:r>
          </w:p>
        </w:tc>
      </w:tr>
      <w:tr>
        <w:tc>
          <w:tcPr>
            <w:tcW w:type="dxa" w:w="4320"/>
          </w:tcPr>
          <w:p>
            <w:r>
              <w:t>Ridgeline Logistics Park</w:t>
            </w:r>
          </w:p>
        </w:tc>
        <w:tc>
          <w:tcPr>
            <w:tcW w:type="dxa" w:w="4320"/>
          </w:tcPr>
          <w:p>
            <w:r>
              <w:t>March 30, 2026 — on track</w:t>
            </w:r>
          </w:p>
        </w:tc>
      </w:tr>
      <w:tr>
        <w:tc>
          <w:tcPr>
            <w:tcW w:type="dxa" w:w="4320"/>
          </w:tcPr>
          <w:p>
            <w:r>
              <w:t>Harbor Commons Multifamily</w:t>
            </w:r>
          </w:p>
        </w:tc>
        <w:tc>
          <w:tcPr>
            <w:tcW w:type="dxa" w:w="4320"/>
          </w:tcPr>
          <w:p>
            <w:r>
              <w:t>September 12, 2026</w:t>
            </w:r>
          </w:p>
        </w:tc>
      </w:tr>
      <w:tr>
        <w:tc>
          <w:tcPr>
            <w:tcW w:type="dxa" w:w="4320"/>
          </w:tcPr>
          <w:p>
            <w:r>
              <w:t>Eastgate Industrial Phase 2</w:t>
            </w:r>
          </w:p>
        </w:tc>
        <w:tc>
          <w:tcPr>
            <w:tcW w:type="dxa" w:w="4320"/>
          </w:tcPr>
          <w:p>
            <w:r>
              <w:t>December 2026 (TBD)</w:t>
            </w:r>
          </w:p>
        </w:tc>
      </w:tr>
    </w:tbl>
    <w:p/>
    <w:p>
      <w:pPr>
        <w:pStyle w:val="Heading2"/>
      </w:pPr>
      <w:r>
        <w:t>Cascade Tower — Schedule Discrepancy</w:t>
      </w:r>
    </w:p>
    <w:p>
      <w:r>
        <w:t>The PM weekly notes for Cascade Tower, distributed to the ownership team in the January 27 project report, reference a Substantial Completion date of July 15, 2026. The master schedule (Rev 9, issued February 3) shows August 2, 2026 after re-baselining for weather delays on the podium level and a revised elevator procurement timeline. The PMO will present the revised schedule to the owner at the February 26 OAC meeting and seek written acknowledgment.</w:t>
      </w:r>
    </w:p>
    <w:p>
      <w:pPr>
        <w:pStyle w:val="Heading2"/>
      </w:pPr>
      <w:r>
        <w:t>Safety</w:t>
      </w:r>
    </w:p>
    <w:p>
      <w:r>
        <w:t>Recordable incident rate (RIR) across active projects: 1.2 (trailing 12 months). Industry benchmark for commercial GC: ~2.0. No lost-time incidents in January.</w:t>
      </w:r>
    </w:p>
    <w:p>
      <w:pPr>
        <w:pStyle w:val="Heading2"/>
      </w:pPr>
      <w:r>
        <w:t>Financial Summary (All Projects)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backlog (contracted)</w:t>
            </w:r>
          </w:p>
        </w:tc>
        <w:tc>
          <w:tcPr>
            <w:tcW w:type="dxa" w:w="4320"/>
          </w:tcPr>
          <w:p>
            <w:r>
              <w:t>$284M</w:t>
            </w:r>
          </w:p>
        </w:tc>
      </w:tr>
      <w:tr>
        <w:tc>
          <w:tcPr>
            <w:tcW w:type="dxa" w:w="4320"/>
          </w:tcPr>
          <w:p>
            <w:r>
              <w:t>Revenue in progress (Jan)</w:t>
            </w:r>
          </w:p>
        </w:tc>
        <w:tc>
          <w:tcPr>
            <w:tcW w:type="dxa" w:w="4320"/>
          </w:tcPr>
          <w:p>
            <w:r>
              <w:t>$18.4M</w:t>
            </w:r>
          </w:p>
        </w:tc>
      </w:tr>
      <w:tr>
        <w:tc>
          <w:tcPr>
            <w:tcW w:type="dxa" w:w="4320"/>
          </w:tcPr>
          <w:p>
            <w:r>
              <w:t>Gross margin (projected, portfolio)</w:t>
            </w:r>
          </w:p>
        </w:tc>
        <w:tc>
          <w:tcPr>
            <w:tcW w:type="dxa" w:w="4320"/>
          </w:tcPr>
          <w:p>
            <w:r>
              <w:t>8.2%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