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Alderpoint Strategy &amp; Operations — Q4 2025 Client Impact Summary</w:t>
      </w:r>
    </w:p>
    <w:p>
      <w:r>
        <w:t>Prepared by: Finance &amp; Delivery Operations</w:t>
      </w:r>
    </w:p>
    <w:p>
      <w:r>
        <w:t>Date: January 2026</w:t>
      </w:r>
    </w:p>
    <w:p/>
    <w:p>
      <w:pPr>
        <w:pStyle w:val="Heading2"/>
      </w:pPr>
      <w:r>
        <w:t>Firm-Wide Savings Delivered (2025)</w:t>
      </w:r>
    </w:p>
    <w:p>
      <w:r>
        <w:t>This document summarizes the annualized savings delivered to ASO clients in 2025, as reported across two internal sources.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Figure</w:t>
            </w:r>
          </w:p>
        </w:tc>
      </w:tr>
      <w:tr>
        <w:tc>
          <w:tcPr>
            <w:tcW w:type="dxa" w:w="4320"/>
          </w:tcPr>
          <w:p>
            <w:r>
              <w:t>Exec deck (board presentation)</w:t>
            </w:r>
          </w:p>
        </w:tc>
        <w:tc>
          <w:tcPr>
            <w:tcW w:type="dxa" w:w="4320"/>
          </w:tcPr>
          <w:p>
            <w:r>
              <w:t>$18.4M annualized savings</w:t>
            </w:r>
          </w:p>
        </w:tc>
      </w:tr>
      <w:tr>
        <w:tc>
          <w:tcPr>
            <w:tcW w:type="dxa" w:w="4320"/>
          </w:tcPr>
          <w:p>
            <w:r>
              <w:t>Finance impact model</w:t>
            </w:r>
          </w:p>
        </w:tc>
        <w:tc>
          <w:tcPr>
            <w:tcW w:type="dxa" w:w="4320"/>
          </w:tcPr>
          <w:p>
            <w:r>
              <w:t>$14.9M net savings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$3.5M</w:t>
            </w:r>
          </w:p>
        </w:tc>
      </w:tr>
    </w:tbl>
    <w:p/>
    <w:p>
      <w:pPr>
        <w:pStyle w:val="Heading2"/>
      </w:pPr>
      <w:r>
        <w:t>Reconciliation Note</w:t>
      </w:r>
    </w:p>
    <w:p>
      <w:r>
        <w:t>The executive deck figure ($18.4M) uses the clients' own baseline estimates as the reference point, and applies gross savings before one-time implementation costs. The finance model ($14.9M) uses ASO's internally validated baseline and deducts estimated one-time transformation costs borne by clients. Both figures are accurate within their respective definitions. Going forward, all external communications will use the net figure ($14.9M) per Managing Director guidance.</w:t>
      </w:r>
    </w:p>
    <w:p>
      <w:pPr>
        <w:pStyle w:val="Heading2"/>
      </w:pPr>
      <w:r>
        <w:t>Top Engagements by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Halloran Industrials (procurement)</w:t>
            </w:r>
          </w:p>
        </w:tc>
        <w:tc>
          <w:tcPr>
            <w:tcW w:type="dxa" w:w="4320"/>
          </w:tcPr>
          <w:p>
            <w:r>
              <w:t>$4.2M net</w:t>
            </w:r>
          </w:p>
        </w:tc>
      </w:tr>
      <w:tr>
        <w:tc>
          <w:tcPr>
            <w:tcW w:type="dxa" w:w="4320"/>
          </w:tcPr>
          <w:p>
            <w:r>
              <w:t>Pacific Transport (network redesign)</w:t>
            </w:r>
          </w:p>
        </w:tc>
        <w:tc>
          <w:tcPr>
            <w:tcW w:type="dxa" w:w="4320"/>
          </w:tcPr>
          <w:p>
            <w:r>
              <w:t>$3.8M net</w:t>
            </w:r>
          </w:p>
        </w:tc>
      </w:tr>
      <w:tr>
        <w:tc>
          <w:tcPr>
            <w:tcW w:type="dxa" w:w="4320"/>
          </w:tcPr>
          <w:p>
            <w:r>
              <w:t>Westfield Health (cost structure)</w:t>
            </w:r>
          </w:p>
        </w:tc>
        <w:tc>
          <w:tcPr>
            <w:tcW w:type="dxa" w:w="4320"/>
          </w:tcPr>
          <w:p>
            <w:r>
              <w:t>$2.9M net</w:t>
            </w:r>
          </w:p>
        </w:tc>
      </w:tr>
      <w:tr>
        <w:tc>
          <w:tcPr>
            <w:tcW w:type="dxa" w:w="4320"/>
          </w:tcPr>
          <w:p>
            <w:r>
              <w:t>Cascade Retail (inventory + ops)</w:t>
            </w:r>
          </w:p>
        </w:tc>
        <w:tc>
          <w:tcPr>
            <w:tcW w:type="dxa" w:w="4320"/>
          </w:tcPr>
          <w:p>
            <w:r>
              <w:t>$2.1M net</w:t>
            </w:r>
          </w:p>
        </w:tc>
      </w:tr>
      <w:tr>
        <w:tc>
          <w:tcPr>
            <w:tcW w:type="dxa" w:w="4320"/>
          </w:tcPr>
          <w:p>
            <w:r>
              <w:t>Other (8 engagements)</w:t>
            </w:r>
          </w:p>
        </w:tc>
        <w:tc>
          <w:tcPr>
            <w:tcW w:type="dxa" w:w="4320"/>
          </w:tcPr>
          <w:p>
            <w:r>
              <w:t>$1.9M net</w:t>
            </w:r>
          </w:p>
        </w:tc>
      </w:tr>
    </w:tbl>
    <w:p/>
    <w:p>
      <w:pPr>
        <w:pStyle w:val="Heading2"/>
      </w:pPr>
      <w:r>
        <w:t>Utilization</w:t>
      </w:r>
    </w:p>
    <w:p>
      <w:r>
        <w:t>Firm utilization for Q4 2025: 74% (finance tracker definition). The practice dashboard shows 80% for the same period, as it includes proposal and BD time in the denominator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