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Harborview Family Clinics Network — January 2026 Network Report</w:t>
      </w:r>
    </w:p>
    <w:p>
      <w:r>
        <w:t>Prepared by: Network Operations &amp; Billing</w:t>
      </w:r>
    </w:p>
    <w:p>
      <w:r>
        <w:t>Date: February 8, 2026</w:t>
      </w:r>
    </w:p>
    <w:p/>
    <w:p>
      <w:pPr>
        <w:pStyle w:val="Heading2"/>
      </w:pPr>
      <w:r>
        <w:t>Volume — 9 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network visits</w:t>
            </w:r>
          </w:p>
        </w:tc>
        <w:tc>
          <w:tcPr>
            <w:tcW w:type="dxa" w:w="4320"/>
          </w:tcPr>
          <w:p>
            <w:r>
              <w:t>21,840</w:t>
            </w:r>
          </w:p>
        </w:tc>
      </w:tr>
      <w:tr>
        <w:tc>
          <w:tcPr>
            <w:tcW w:type="dxa" w:w="4320"/>
          </w:tcPr>
          <w:p>
            <w:r>
              <w:t>New patients</w:t>
            </w:r>
          </w:p>
        </w:tc>
        <w:tc>
          <w:tcPr>
            <w:tcW w:type="dxa" w:w="4320"/>
          </w:tcPr>
          <w:p>
            <w:r>
              <w:t>1,620</w:t>
            </w:r>
          </w:p>
        </w:tc>
      </w:tr>
      <w:tr>
        <w:tc>
          <w:tcPr>
            <w:tcW w:type="dxa" w:w="4320"/>
          </w:tcPr>
          <w:p>
            <w:r>
              <w:t>No-show rate (ops dashboard)</w:t>
            </w:r>
          </w:p>
        </w:tc>
        <w:tc>
          <w:tcPr>
            <w:tcW w:type="dxa" w:w="4320"/>
          </w:tcPr>
          <w:p>
            <w:r>
              <w:t>7.5%</w:t>
            </w:r>
          </w:p>
        </w:tc>
      </w:tr>
      <w:tr>
        <w:tc>
          <w:tcPr>
            <w:tcW w:type="dxa" w:w="4320"/>
          </w:tcPr>
          <w:p>
            <w:r>
              <w:t>No-show rate (site directors)</w:t>
            </w:r>
          </w:p>
        </w:tc>
        <w:tc>
          <w:tcPr>
            <w:tcW w:type="dxa" w:w="4320"/>
          </w:tcPr>
          <w:p>
            <w:r>
              <w:t>10–12%</w:t>
            </w:r>
          </w:p>
        </w:tc>
      </w:tr>
    </w:tbl>
    <w:p/>
    <w:p>
      <w:pPr>
        <w:pStyle w:val="Heading2"/>
      </w:pPr>
      <w:r>
        <w:t>No-Show Definition Note</w:t>
      </w:r>
    </w:p>
    <w:p>
      <w:r>
        <w:t>The ops dashboard (maintained centrally) excludes appointments cancelled with less than 2 hours notice from the no-show calculation — these are counted as cancellations. The reported rate is 7.5%. Site directors at 6 of 9 clinics include these late-cancel events as no-shows in their local tracking, consistent with how their scheduling software flags them. Their blended estimate is 10–12%. The Network Medical Director has asked for a standardized definition to be implemented by April 1, 2026 (ahead of the annual board presentation).</w:t>
      </w:r>
    </w:p>
    <w:p>
      <w:pPr>
        <w:pStyle w:val="Heading2"/>
      </w:pPr>
      <w:r>
        <w:t>Billing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Gross charges (Jan)</w:t>
            </w:r>
          </w:p>
        </w:tc>
        <w:tc>
          <w:tcPr>
            <w:tcW w:type="dxa" w:w="4320"/>
          </w:tcPr>
          <w:p>
            <w:r>
              <w:t>$7,820,000</w:t>
            </w:r>
          </w:p>
        </w:tc>
      </w:tr>
      <w:tr>
        <w:tc>
          <w:tcPr>
            <w:tcW w:type="dxa" w:w="4320"/>
          </w:tcPr>
          <w:p>
            <w:r>
              <w:t>Expected collections</w:t>
            </w:r>
          </w:p>
        </w:tc>
        <w:tc>
          <w:tcPr>
            <w:tcW w:type="dxa" w:w="4320"/>
          </w:tcPr>
          <w:p>
            <w:r>
              <w:t>$5,180,000</w:t>
            </w:r>
          </w:p>
        </w:tc>
      </w:tr>
      <w:tr>
        <w:tc>
          <w:tcPr>
            <w:tcW w:type="dxa" w:w="4320"/>
          </w:tcPr>
          <w:p>
            <w:r>
              <w:t>Collection rate (target)</w:t>
            </w:r>
          </w:p>
        </w:tc>
        <w:tc>
          <w:tcPr>
            <w:tcW w:type="dxa" w:w="4320"/>
          </w:tcPr>
          <w:p>
            <w:r>
              <w:t>66%</w:t>
            </w:r>
          </w:p>
        </w:tc>
      </w:tr>
      <w:tr>
        <w:tc>
          <w:tcPr>
            <w:tcW w:type="dxa" w:w="4320"/>
          </w:tcPr>
          <w:p>
            <w:r>
              <w:t>Collection rate (actuals, est.)</w:t>
            </w:r>
          </w:p>
        </w:tc>
        <w:tc>
          <w:tcPr>
            <w:tcW w:type="dxa" w:w="4320"/>
          </w:tcPr>
          <w:p>
            <w:r>
              <w:t>64.2%</w:t>
            </w:r>
          </w:p>
        </w:tc>
      </w:tr>
      <w:tr>
        <w:tc>
          <w:tcPr>
            <w:tcW w:type="dxa" w:w="4320"/>
          </w:tcPr>
          <w:p>
            <w:r>
              <w:t>Variance reason</w:t>
            </w:r>
          </w:p>
        </w:tc>
        <w:tc>
          <w:tcPr>
            <w:tcW w:type="dxa" w:w="4320"/>
          </w:tcPr>
          <w:p>
            <w:r>
              <w:t>Payer delay — Aetna batch held for processing</w:t>
            </w:r>
          </w:p>
        </w:tc>
      </w:tr>
    </w:tbl>
    <w:p/>
    <w:p>
      <w:pPr>
        <w:pStyle w:val="Heading2"/>
      </w:pPr>
      <w:r>
        <w:t>Membership Pilot</w:t>
      </w:r>
    </w:p>
    <w:p>
      <w:r>
        <w:t>The membership access pilot (3 clinics, 120 enrolled members) is tracking at 88% renewal intent on the January survey. Finance is projecting $18,000 MRR from the pilot by Q2 if enrollment holds.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