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Titan River Components — February 2026 Executive Operations Report</w:t>
      </w:r>
    </w:p>
    <w:p>
      <w:r>
        <w:t>Prepared by: Operations &amp; Finance</w:t>
      </w:r>
    </w:p>
    <w:p>
      <w:r>
        <w:t>Date: February 12, 2026</w:t>
      </w:r>
    </w:p>
    <w:p/>
    <w:p>
      <w:pPr>
        <w:pStyle w:val="Heading2"/>
      </w:pPr>
      <w:r>
        <w:t>OEE — Overall Equipment Effectiveness</w:t>
      </w:r>
    </w:p>
    <w:p>
      <w:r>
        <w:t>Plant-level dashboards report OEE at 78% across the three facilities for January. The finance operations review uses a different availability assumption (scheduled maintenance windows are excluded from available time in plant dashboards but included in the finance model denominator), yielding an OEE of 72%. Both figures are presented to the board; the finance figure (72%) is used for capital allocation planning.</w:t>
      </w:r>
    </w:p>
    <w:p>
      <w:pPr>
        <w:pStyle w:val="Heading2"/>
      </w:pPr>
      <w:r>
        <w:t>Production — All Plants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Plant A (Detroit)</w:t>
            </w:r>
          </w:p>
        </w:tc>
        <w:tc>
          <w:tcPr>
            <w:tcW w:type="dxa" w:w="4320"/>
          </w:tcPr>
          <w:p>
            <w:r>
              <w:t>2,840,000 units — 97.2% attainment</w:t>
            </w:r>
          </w:p>
        </w:tc>
      </w:tr>
      <w:tr>
        <w:tc>
          <w:tcPr>
            <w:tcW w:type="dxa" w:w="4320"/>
          </w:tcPr>
          <w:p>
            <w:r>
              <w:t>Plant B (Dayton)</w:t>
            </w:r>
          </w:p>
        </w:tc>
        <w:tc>
          <w:tcPr>
            <w:tcW w:type="dxa" w:w="4320"/>
          </w:tcPr>
          <w:p>
            <w:r>
              <w:t>1,920,000 units — 94.1% attainment</w:t>
            </w:r>
          </w:p>
        </w:tc>
      </w:tr>
      <w:tr>
        <w:tc>
          <w:tcPr>
            <w:tcW w:type="dxa" w:w="4320"/>
          </w:tcPr>
          <w:p>
            <w:r>
              <w:t>Plant C (Indianapolis)</w:t>
            </w:r>
          </w:p>
        </w:tc>
        <w:tc>
          <w:tcPr>
            <w:tcW w:type="dxa" w:w="4320"/>
          </w:tcPr>
          <w:p>
            <w:r>
              <w:t>3,110,000 units — 96.8% attainment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7,870,000 units</w:t>
            </w:r>
          </w:p>
        </w:tc>
      </w:tr>
    </w:tbl>
    <w:p/>
    <w:p>
      <w:pPr>
        <w:pStyle w:val="Heading2"/>
      </w:pPr>
      <w:r>
        <w:t>Quality — Scrap Rate</w:t>
      </w:r>
    </w:p>
    <w:p>
      <w:r>
        <w:t>Finance and quality report scrap rate at 1.8% (units scrapped vs. produced). Operations tracks a broader 'total defect rate' that includes reworked units before reclassification, showing 3.1%. Customer-facing scorecards use the 1.8% figure.</w:t>
      </w:r>
    </w:p>
    <w:p>
      <w:pPr>
        <w:pStyle w:val="Heading2"/>
      </w:pPr>
      <w:r>
        <w:t>Inventory</w:t>
      </w:r>
    </w:p>
    <w:p>
      <w:r>
        <w:t>Raw material inventory is valued at standard cost in the ERP. Steel coil (primary input) was purchased at $840/ton in January vs. the $790/ton standard. Variance of approximately $620,000 across current stock will be recognized at Q1 close.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