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Meridian SignalWorks — ARR Reconciliation Memo</w:t>
      </w:r>
    </w:p>
    <w:p>
      <w:r>
        <w:t>Date: February 2026</w:t>
      </w:r>
    </w:p>
    <w:p>
      <w:r>
        <w:t>Prepared by: Finance</w:t>
      </w:r>
    </w:p>
    <w:p/>
    <w:p>
      <w:pPr>
        <w:pStyle w:val="Heading2"/>
      </w:pPr>
      <w:r>
        <w:t>Purpose</w:t>
      </w:r>
    </w:p>
    <w:p>
      <w:r>
        <w:t>This memo reconciles the ARR figures presented in the January board deck and the current finance model, which differ by approximately $900,000.</w:t>
      </w:r>
    </w:p>
    <w:p>
      <w:pPr>
        <w:pStyle w:val="Heading2"/>
      </w:pPr>
      <w:r>
        <w:t>ARR Figures</w:t>
      </w:r>
    </w:p>
    <w:tbl>
      <w:tblPr>
        <w:tblStyle w:val="TableGrid"/>
        <w:tblW w:type="auto" w:w="0"/>
        <w:tblLook w:firstColumn="1" w:firstRow="1" w:lastColumn="0" w:lastRow="0" w:noHBand="0" w:noVBand="1" w:val="04A0"/>
      </w:tblPr>
      <w:tblGrid>
        <w:gridCol w:w="4320"/>
        <w:gridCol w:w="4320"/>
      </w:tblGrid>
      <w:tr>
        <w:tc>
          <w:tcPr>
            <w:tcW w:type="dxa" w:w="4320"/>
          </w:tcPr>
          <w:p>
            <w:r>
              <w:t>Board deck (January)</w:t>
            </w:r>
          </w:p>
        </w:tc>
        <w:tc>
          <w:tcPr>
            <w:tcW w:type="dxa" w:w="4320"/>
          </w:tcPr>
          <w:p>
            <w:r>
              <w:t>$24.8M ARR</w:t>
            </w:r>
          </w:p>
        </w:tc>
      </w:tr>
      <w:tr>
        <w:tc>
          <w:tcPr>
            <w:tcW w:type="dxa" w:w="4320"/>
          </w:tcPr>
          <w:p>
            <w:r>
              <w:t>Finance model (current)</w:t>
            </w:r>
          </w:p>
        </w:tc>
        <w:tc>
          <w:tcPr>
            <w:tcW w:type="dxa" w:w="4320"/>
          </w:tcPr>
          <w:p>
            <w:r>
              <w:t>$23.9M ARR</w:t>
            </w:r>
          </w:p>
        </w:tc>
      </w:tr>
      <w:tr>
        <w:tc>
          <w:tcPr>
            <w:tcW w:type="dxa" w:w="4320"/>
          </w:tcPr>
          <w:p>
            <w:r>
              <w:t>Difference</w:t>
            </w:r>
          </w:p>
        </w:tc>
        <w:tc>
          <w:tcPr>
            <w:tcW w:type="dxa" w:w="4320"/>
          </w:tcPr>
          <w:p>
            <w:r>
              <w:t>$900,000</w:t>
            </w:r>
          </w:p>
        </w:tc>
      </w:tr>
    </w:tbl>
    <w:p/>
    <w:p>
      <w:pPr>
        <w:pStyle w:val="Heading2"/>
      </w:pPr>
      <w:r>
        <w:t>Explanation</w:t>
      </w:r>
    </w:p>
    <w:p>
      <w:r>
        <w:t>The board deck ARR figure ($24.8M) includes $900,000 of revenue from three annual contracts that were pre-paid in 2025 and are now churned (customers did not renew for 2026). These were included in the ARR snapshot because the contracts had not yet expired at the time of the January board meeting. The finance model ($23.9M) removes these three accounts as they are confirmed non-renewals, consistent with our ARR policy of excluding known churn from the forward-looking metric.</w:t>
      </w:r>
    </w:p>
    <w:p>
      <w:pPr>
        <w:pStyle w:val="Heading2"/>
      </w:pPr>
      <w:r>
        <w:t>Resolution</w:t>
      </w:r>
    </w:p>
    <w:p>
      <w:r>
        <w:t>The $23.9M figure should be used in all investor communications, sales materials, and internal reporting going forward. The next board update (March) will present ARR at $23.9M with an explanation of the prior period correction.</w:t>
      </w:r>
    </w:p>
    <w:p>
      <w:pPr>
        <w:pStyle w:val="Heading2"/>
      </w:pPr>
      <w:r>
        <w:t>Usage-Based Add-On</w:t>
      </w:r>
    </w:p>
    <w:p>
      <w:r>
        <w:t>Usage-based add-on revenue of approximately $1.2M (annualized) is NOT included in either ARR figure above, per company policy of excluding variable revenue from ARR. This is tracked separately as usage revenue.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