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Meridian SignalWorks — Product Milestone Update</w:t>
      </w:r>
    </w:p>
    <w:p>
      <w:r>
        <w:t>Date: February 2026</w:t>
      </w:r>
    </w:p>
    <w:p>
      <w:r>
        <w:t>Prepared by: Product</w:t>
      </w:r>
    </w:p>
    <w:p/>
    <w:p>
      <w:pPr>
        <w:pStyle w:val="Heading2"/>
      </w:pPr>
      <w:r>
        <w:t>Active Milestones</w:t>
      </w:r>
    </w:p>
    <w:tbl>
      <w:tblPr>
        <w:tblStyle w:val="TableGrid"/>
        <w:tblW w:type="auto" w:w="0"/>
        <w:tblLook w:firstColumn="1" w:firstRow="1" w:lastColumn="0" w:lastRow="0" w:noHBand="0" w:noVBand="1" w:val="04A0"/>
      </w:tblPr>
      <w:tblGrid>
        <w:gridCol w:w="4320"/>
        <w:gridCol w:w="4320"/>
      </w:tblGrid>
      <w:tr>
        <w:tc>
          <w:tcPr>
            <w:tcW w:type="dxa" w:w="4320"/>
          </w:tcPr>
          <w:p>
            <w:r>
              <w:t>Feature / Release</w:t>
            </w:r>
          </w:p>
        </w:tc>
        <w:tc>
          <w:tcPr>
            <w:tcW w:type="dxa" w:w="4320"/>
          </w:tcPr>
          <w:p>
            <w:r>
              <w:t>Target</w:t>
            </w:r>
          </w:p>
        </w:tc>
      </w:tr>
      <w:tr>
        <w:tc>
          <w:tcPr>
            <w:tcW w:type="dxa" w:w="4320"/>
          </w:tcPr>
          <w:p>
            <w:r>
              <w:t>Atlas v4.0 (EU data residency)</w:t>
            </w:r>
          </w:p>
        </w:tc>
        <w:tc>
          <w:tcPr>
            <w:tcW w:type="dxa" w:w="4320"/>
          </w:tcPr>
          <w:p>
            <w:r>
              <w:t>March 31, 2026</w:t>
            </w:r>
          </w:p>
        </w:tc>
      </w:tr>
      <w:tr>
        <w:tc>
          <w:tcPr>
            <w:tcW w:type="dxa" w:w="4320"/>
          </w:tcPr>
          <w:p>
            <w:r>
              <w:t>Signal Pulse (usage analytics)</w:t>
            </w:r>
          </w:p>
        </w:tc>
        <w:tc>
          <w:tcPr>
            <w:tcW w:type="dxa" w:w="4320"/>
          </w:tcPr>
          <w:p>
            <w:r>
              <w:t>Q2 2026</w:t>
            </w:r>
          </w:p>
        </w:tc>
      </w:tr>
      <w:tr>
        <w:tc>
          <w:tcPr>
            <w:tcW w:type="dxa" w:w="4320"/>
          </w:tcPr>
          <w:p>
            <w:r>
              <w:t>Enterprise SSO revamp</w:t>
            </w:r>
          </w:p>
        </w:tc>
        <w:tc>
          <w:tcPr>
            <w:tcW w:type="dxa" w:w="4320"/>
          </w:tcPr>
          <w:p>
            <w:r>
              <w:t>April 2026 (in progress)</w:t>
            </w:r>
          </w:p>
        </w:tc>
      </w:tr>
      <w:tr>
        <w:tc>
          <w:tcPr>
            <w:tcW w:type="dxa" w:w="4320"/>
          </w:tcPr>
          <w:p>
            <w:r>
              <w:t>Workflow Composer (major)</w:t>
            </w:r>
          </w:p>
        </w:tc>
        <w:tc>
          <w:tcPr>
            <w:tcW w:type="dxa" w:w="4320"/>
          </w:tcPr>
          <w:p>
            <w:r>
              <w:t>H2 2026 TBD</w:t>
            </w:r>
          </w:p>
        </w:tc>
      </w:tr>
    </w:tbl>
    <w:p/>
    <w:p>
      <w:pPr>
        <w:pStyle w:val="Heading2"/>
      </w:pPr>
      <w:r>
        <w:t>EU Data Residency</w:t>
      </w:r>
    </w:p>
    <w:p>
      <w:r>
        <w:t>Atlas v4.0 (EU data residency) is the top priority for Q1. Required for three enterprise customers in the UK/EU expansion pipeline. Engineering is on track for a March 31 GA. Legal review of updated DPA language is in progress.</w:t>
      </w:r>
    </w:p>
    <w:p>
      <w:pPr>
        <w:pStyle w:val="Heading2"/>
      </w:pPr>
      <w:r>
        <w:t>KPI Definitions</w:t>
      </w:r>
    </w:p>
    <w:p>
      <w:r>
        <w:t>Following the Q4 KPI audit, Finance and Product have aligned on the following: ARR excludes usage revenue and known churned annual prepaid. NRR (net revenue retention) includes expansions and downgrades but excludes new logos. The next board package will include both ARR and NRR.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