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l-consulting-v01</w:t>
      </w:r>
    </w:p>
    <w:p>
      <w:pPr>
        <w:numPr>
          <w:ilvl w:val="0"/>
          <w:numId w:val="1001"/>
        </w:numPr>
        <w:pStyle w:val="Compact"/>
      </w:pPr>
      <w:r>
        <w:t xml:space="preserve">Business name: Greybridge Partners</w:t>
      </w:r>
    </w:p>
    <w:p>
      <w:pPr>
        <w:numPr>
          <w:ilvl w:val="0"/>
          <w:numId w:val="1001"/>
        </w:numPr>
        <w:pStyle w:val="Compact"/>
      </w:pPr>
      <w:r>
        <w:t xml:space="preserve">Industry / domain: Consulting (strategy + operations + turnaround)</w:t>
      </w:r>
    </w:p>
    <w:p>
      <w:pPr>
        <w:numPr>
          <w:ilvl w:val="0"/>
          <w:numId w:val="1001"/>
        </w:numPr>
        <w:pStyle w:val="Compact"/>
      </w:pPr>
      <w:r>
        <w:t xml:space="preserve">Business model: Services (retainers + success fees + fixed-scope diagnostics)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Chicago, IL + travel (US)</w:t>
      </w:r>
    </w:p>
    <w:p>
      <w:pPr>
        <w:numPr>
          <w:ilvl w:val="0"/>
          <w:numId w:val="1001"/>
        </w:numPr>
        <w:pStyle w:val="Compact"/>
      </w:pPr>
      <w:r>
        <w:t xml:space="preserve">Size tier: l</w:t>
      </w:r>
    </w:p>
    <w:p>
      <w:pPr>
        <w:numPr>
          <w:ilvl w:val="0"/>
          <w:numId w:val="1001"/>
        </w:numPr>
        <w:pStyle w:val="Compact"/>
      </w:pPr>
      <w:r>
        <w:t xml:space="preserve">Org maturity: process-heavy externally, internally fragmented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larger consulting firm with multiple practices and a lot of internal artifacts; client work is structured, internal ops are messy.</w:t>
      </w:r>
    </w:p>
    <w:p>
      <w:pPr>
        <w:numPr>
          <w:ilvl w:val="0"/>
          <w:numId w:val="1002"/>
        </w:numPr>
        <w:pStyle w:val="Compact"/>
      </w:pPr>
      <w:r>
        <w:t xml:space="preserve">Practices:</w:t>
      </w:r>
    </w:p>
    <w:p>
      <w:pPr>
        <w:numPr>
          <w:ilvl w:val="1"/>
          <w:numId w:val="1003"/>
        </w:numPr>
        <w:pStyle w:val="Compact"/>
      </w:pPr>
      <w:r>
        <w:t xml:space="preserve">Turnaround / restructuring</w:t>
      </w:r>
    </w:p>
    <w:p>
      <w:pPr>
        <w:numPr>
          <w:ilvl w:val="1"/>
          <w:numId w:val="1003"/>
        </w:numPr>
        <w:pStyle w:val="Compact"/>
      </w:pPr>
      <w:r>
        <w:t xml:space="preserve">Ops excellence</w:t>
      </w:r>
    </w:p>
    <w:p>
      <w:pPr>
        <w:numPr>
          <w:ilvl w:val="1"/>
          <w:numId w:val="1003"/>
        </w:numPr>
        <w:pStyle w:val="Compact"/>
      </w:pPr>
      <w:r>
        <w:t xml:space="preserve">Pricing + cost transformation</w:t>
      </w:r>
    </w:p>
    <w:p>
      <w:pPr>
        <w:numPr>
          <w:ilvl w:val="1"/>
          <w:numId w:val="1003"/>
        </w:numPr>
        <w:pStyle w:val="Compact"/>
      </w:pPr>
      <w:r>
        <w:t xml:space="preserve">PMO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4"/>
        </w:numPr>
        <w:pStyle w:val="Compact"/>
      </w:pPr>
      <w:r>
        <w:t xml:space="preserve">Functions:</w:t>
      </w:r>
    </w:p>
    <w:p>
      <w:pPr>
        <w:numPr>
          <w:ilvl w:val="1"/>
          <w:numId w:val="1005"/>
        </w:numPr>
        <w:pStyle w:val="Compact"/>
      </w:pPr>
      <w:r>
        <w:t xml:space="preserve">Partners</w:t>
      </w:r>
    </w:p>
    <w:p>
      <w:pPr>
        <w:numPr>
          <w:ilvl w:val="1"/>
          <w:numId w:val="1005"/>
        </w:numPr>
        <w:pStyle w:val="Compact"/>
      </w:pPr>
      <w:r>
        <w:t xml:space="preserve">Practice leads</w:t>
      </w:r>
    </w:p>
    <w:p>
      <w:pPr>
        <w:numPr>
          <w:ilvl w:val="1"/>
          <w:numId w:val="1005"/>
        </w:numPr>
        <w:pStyle w:val="Compact"/>
      </w:pPr>
      <w:r>
        <w:t xml:space="preserve">Delivery teams</w:t>
      </w:r>
    </w:p>
    <w:p>
      <w:pPr>
        <w:numPr>
          <w:ilvl w:val="1"/>
          <w:numId w:val="1005"/>
        </w:numPr>
        <w:pStyle w:val="Compact"/>
      </w:pPr>
      <w:r>
        <w:t xml:space="preserve">Research</w:t>
      </w:r>
    </w:p>
    <w:p>
      <w:pPr>
        <w:numPr>
          <w:ilvl w:val="1"/>
          <w:numId w:val="1005"/>
        </w:numPr>
        <w:pStyle w:val="Compact"/>
      </w:pPr>
      <w:r>
        <w:t xml:space="preserve">Finance</w:t>
      </w:r>
    </w:p>
    <w:p>
      <w:pPr>
        <w:numPr>
          <w:ilvl w:val="1"/>
          <w:numId w:val="1005"/>
        </w:numPr>
        <w:pStyle w:val="Compact"/>
      </w:pPr>
      <w:r>
        <w:t xml:space="preserve">Talent/HR</w:t>
      </w:r>
    </w:p>
    <w:p>
      <w:pPr>
        <w:numPr>
          <w:ilvl w:val="0"/>
          <w:numId w:val="1004"/>
        </w:numPr>
        <w:pStyle w:val="Compact"/>
      </w:pPr>
      <w:r>
        <w:t xml:space="preserve">Key roles:</w:t>
      </w:r>
    </w:p>
    <w:p>
      <w:pPr>
        <w:numPr>
          <w:ilvl w:val="1"/>
          <w:numId w:val="1006"/>
        </w:numPr>
        <w:pStyle w:val="Compact"/>
      </w:pPr>
      <w:r>
        <w:t xml:space="preserve">Marisol Vega — Managing Partner</w:t>
      </w:r>
    </w:p>
    <w:p>
      <w:pPr>
        <w:numPr>
          <w:ilvl w:val="1"/>
          <w:numId w:val="1006"/>
        </w:numPr>
        <w:pStyle w:val="Compact"/>
      </w:pPr>
      <w:r>
        <w:t xml:space="preserve">Grant Ellison — Partner, Turnaround</w:t>
      </w:r>
    </w:p>
    <w:p>
      <w:pPr>
        <w:numPr>
          <w:ilvl w:val="1"/>
          <w:numId w:val="1006"/>
        </w:numPr>
        <w:pStyle w:val="Compact"/>
      </w:pPr>
      <w:r>
        <w:t xml:space="preserve">Ayesha Rahman — Partner, Ops</w:t>
      </w:r>
    </w:p>
    <w:p>
      <w:pPr>
        <w:numPr>
          <w:ilvl w:val="1"/>
          <w:numId w:val="1006"/>
        </w:numPr>
        <w:pStyle w:val="Compact"/>
      </w:pPr>
      <w:r>
        <w:t xml:space="preserve">Tomás Silva — Director, PMO</w:t>
      </w:r>
    </w:p>
    <w:p>
      <w:pPr>
        <w:numPr>
          <w:ilvl w:val="1"/>
          <w:numId w:val="1006"/>
        </w:numPr>
        <w:pStyle w:val="Compact"/>
      </w:pPr>
      <w:r>
        <w:t xml:space="preserve">Nina Cho — Finance Director</w:t>
      </w:r>
    </w:p>
    <w:p>
      <w:pPr>
        <w:numPr>
          <w:ilvl w:val="1"/>
          <w:numId w:val="1006"/>
        </w:numPr>
        <w:pStyle w:val="Compact"/>
      </w:pPr>
      <w:r>
        <w:t xml:space="preserve">Evan Price — Talent Lead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7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0"/>
          <w:numId w:val="1007"/>
        </w:numPr>
        <w:pStyle w:val="Compact"/>
      </w:pPr>
      <w:r>
        <w:t xml:space="preserve">Rationale: tons of artifacts + template reuse + multiple practices → contradiction-prone.</w:t>
      </w:r>
    </w:p>
    <w:p>
      <w:pPr>
        <w:numPr>
          <w:ilvl w:val="0"/>
          <w:numId w:val="1007"/>
        </w:numPr>
        <w:pStyle w:val="Compact"/>
      </w:pPr>
      <w:r>
        <w:t xml:space="preserve">Where chaos lives:</w:t>
      </w:r>
    </w:p>
    <w:p>
      <w:pPr>
        <w:numPr>
          <w:ilvl w:val="1"/>
          <w:numId w:val="1008"/>
        </w:numPr>
        <w:pStyle w:val="Compact"/>
      </w:pPr>
      <w:r>
        <w:t xml:space="preserve">☒ versioning and duplicates (decks, SOWs, case studies)</w:t>
      </w:r>
    </w:p>
    <w:p>
      <w:pPr>
        <w:numPr>
          <w:ilvl w:val="1"/>
          <w:numId w:val="1008"/>
        </w:numPr>
        <w:pStyle w:val="Compact"/>
      </w:pPr>
      <w:r>
        <w:t xml:space="preserve">☒ conflicting metrics (utilization, margin, success fees)</w:t>
      </w:r>
    </w:p>
    <w:p>
      <w:pPr>
        <w:numPr>
          <w:ilvl w:val="1"/>
          <w:numId w:val="1008"/>
        </w:numPr>
        <w:pStyle w:val="Compact"/>
      </w:pPr>
      <w:r>
        <w:t xml:space="preserve">☒ naming drift (client aliases, practice names)</w:t>
      </w:r>
    </w:p>
    <w:p>
      <w:pPr>
        <w:numPr>
          <w:ilvl w:val="1"/>
          <w:numId w:val="1008"/>
        </w:numPr>
        <w:pStyle w:val="Compact"/>
      </w:pPr>
      <w:r>
        <w:t xml:space="preserve">☒ stale strategy (GTM doc behind reality)</w:t>
      </w:r>
    </w:p>
    <w:p>
      <w:pPr>
        <w:numPr>
          <w:ilvl w:val="1"/>
          <w:numId w:val="1008"/>
        </w:numPr>
        <w:pStyle w:val="Compact"/>
      </w:pPr>
      <w:r>
        <w:t xml:space="preserve">☒ shadow spreadsheets (utilization</w:t>
      </w:r>
      <w:r>
        <w:t xml:space="preserve"> </w:t>
      </w:r>
      <w:r>
        <w:t xml:space="preserve">“</w:t>
      </w:r>
      <w:r>
        <w:t xml:space="preserve">truth</w:t>
      </w:r>
      <w:r>
        <w:t xml:space="preserve">”</w:t>
      </w:r>
      <w:r>
        <w:t xml:space="preserve"> </w:t>
      </w:r>
      <w:r>
        <w:t xml:space="preserve">kept by finance)</w:t>
      </w:r>
    </w:p>
    <w:p>
      <w:pPr>
        <w:numPr>
          <w:ilvl w:val="1"/>
          <w:numId w:val="1008"/>
        </w:numPr>
        <w:pStyle w:val="Compact"/>
      </w:pPr>
      <w:r>
        <w:t xml:space="preserve">☒ messy meeting notes (partners + practice leads)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9"/>
        </w:numPr>
        <w:pStyle w:val="Compact"/>
      </w:pPr>
      <w:r>
        <w:t xml:space="preserve">Utilization:</w:t>
      </w:r>
    </w:p>
    <w:p>
      <w:pPr>
        <w:numPr>
          <w:ilvl w:val="1"/>
          <w:numId w:val="1010"/>
        </w:numPr>
        <w:pStyle w:val="Compact"/>
      </w:pPr>
      <w:r>
        <w:t xml:space="preserve">Practice dashboard says 78%</w:t>
      </w:r>
    </w:p>
    <w:p>
      <w:pPr>
        <w:numPr>
          <w:ilvl w:val="1"/>
          <w:numId w:val="1010"/>
        </w:numPr>
        <w:pStyle w:val="Compact"/>
      </w:pPr>
      <w:r>
        <w:t xml:space="preserve">Finance tracker says 71% (excludes non-billable</w:t>
      </w:r>
      <w:r>
        <w:t xml:space="preserve"> </w:t>
      </w:r>
      <w:r>
        <w:t xml:space="preserve">“</w:t>
      </w:r>
      <w:r>
        <w:t xml:space="preserve">internal</w:t>
      </w:r>
      <w:r>
        <w:t xml:space="preserve">”</w:t>
      </w:r>
      <w:r>
        <w:t xml:space="preserve"> </w:t>
      </w:r>
      <w:r>
        <w:t xml:space="preserve">work)</w:t>
      </w:r>
    </w:p>
    <w:p>
      <w:pPr>
        <w:numPr>
          <w:ilvl w:val="0"/>
          <w:numId w:val="1009"/>
        </w:numPr>
        <w:pStyle w:val="Compact"/>
      </w:pPr>
      <w:r>
        <w:t xml:space="preserve">Pipeline:</w:t>
      </w:r>
    </w:p>
    <w:p>
      <w:pPr>
        <w:numPr>
          <w:ilvl w:val="1"/>
          <w:numId w:val="1011"/>
        </w:numPr>
        <w:pStyle w:val="Compact"/>
      </w:pPr>
      <w:r>
        <w:t xml:space="preserve">CRM export shows deal as</w:t>
      </w:r>
      <w:r>
        <w:t xml:space="preserve"> </w:t>
      </w:r>
      <w:r>
        <w:t xml:space="preserve">“</w:t>
      </w:r>
      <w:r>
        <w:t xml:space="preserve">Proposal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Partner meeting notes say</w:t>
      </w:r>
      <w:r>
        <w:t xml:space="preserve"> </w:t>
      </w:r>
      <w:r>
        <w:t xml:space="preserve">“</w:t>
      </w:r>
      <w:r>
        <w:t xml:space="preserve">verbally won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Success fee accounting:</w:t>
      </w:r>
    </w:p>
    <w:p>
      <w:pPr>
        <w:numPr>
          <w:ilvl w:val="1"/>
          <w:numId w:val="1012"/>
        </w:numPr>
        <w:pStyle w:val="Compact"/>
      </w:pPr>
      <w:r>
        <w:t xml:space="preserve">Case study claims $1.2M success fee</w:t>
      </w:r>
    </w:p>
    <w:p>
      <w:pPr>
        <w:numPr>
          <w:ilvl w:val="1"/>
          <w:numId w:val="1012"/>
        </w:numPr>
        <w:pStyle w:val="Compact"/>
      </w:pPr>
      <w:r>
        <w:t xml:space="preserve">Finance summary books $0.9M (timing + contingencies)</w:t>
      </w:r>
    </w:p>
    <w:bookmarkEnd w:id="24"/>
    <w:bookmarkStart w:id="34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3"/>
        </w:numPr>
        <w:pStyle w:val="Compact"/>
      </w:pPr>
      <w:r>
        <w:t xml:space="preserve">mission-vision-values.md</w:t>
      </w:r>
    </w:p>
    <w:p>
      <w:pPr>
        <w:numPr>
          <w:ilvl w:val="0"/>
          <w:numId w:val="1013"/>
        </w:numPr>
        <w:pStyle w:val="Compact"/>
      </w:pPr>
      <w:r>
        <w:t xml:space="preserve">brand-guide.md</w:t>
      </w:r>
    </w:p>
    <w:p>
      <w:pPr>
        <w:numPr>
          <w:ilvl w:val="0"/>
          <w:numId w:val="1013"/>
        </w:numPr>
        <w:pStyle w:val="Compact"/>
      </w:pPr>
      <w:r>
        <w:t xml:space="preserve">high-level-strategy-2026.md</w:t>
      </w:r>
    </w:p>
    <w:p>
      <w:pPr>
        <w:numPr>
          <w:ilvl w:val="0"/>
          <w:numId w:val="1013"/>
        </w:numPr>
        <w:pStyle w:val="Compact"/>
      </w:pPr>
      <w:r>
        <w:t xml:space="preserve">practices-overview.md</w:t>
      </w:r>
    </w:p>
    <w:bookmarkEnd w:id="25"/>
    <w:bookmarkStart w:id="26" w:name="marketing-sales"/>
    <w:p>
      <w:pPr>
        <w:pStyle w:val="Heading3"/>
      </w:pPr>
      <w:r>
        <w:t xml:space="preserve">Marketing + sales</w:t>
      </w:r>
    </w:p>
    <w:p>
      <w:pPr>
        <w:numPr>
          <w:ilvl w:val="0"/>
          <w:numId w:val="1014"/>
        </w:numPr>
        <w:pStyle w:val="Compact"/>
      </w:pPr>
      <w:r>
        <w:t xml:space="preserve">marketing-pitch-deck.pptx</w:t>
      </w:r>
    </w:p>
    <w:p>
      <w:pPr>
        <w:numPr>
          <w:ilvl w:val="0"/>
          <w:numId w:val="1014"/>
        </w:numPr>
        <w:pStyle w:val="Compact"/>
      </w:pPr>
      <w:r>
        <w:t xml:space="preserve">case-studies-portfolio.pdf</w:t>
      </w:r>
    </w:p>
    <w:p>
      <w:pPr>
        <w:numPr>
          <w:ilvl w:val="0"/>
          <w:numId w:val="1014"/>
        </w:numPr>
        <w:pStyle w:val="Compact"/>
      </w:pPr>
      <w:r>
        <w:t xml:space="preserve">proposal-template.md</w:t>
      </w:r>
    </w:p>
    <w:p>
      <w:pPr>
        <w:numPr>
          <w:ilvl w:val="0"/>
          <w:numId w:val="1014"/>
        </w:numPr>
        <w:pStyle w:val="Compact"/>
      </w:pPr>
      <w:r>
        <w:t xml:space="preserve">lead-list.json</w:t>
      </w:r>
    </w:p>
    <w:p>
      <w:pPr>
        <w:numPr>
          <w:ilvl w:val="0"/>
          <w:numId w:val="1014"/>
        </w:numPr>
        <w:pStyle w:val="Compact"/>
      </w:pPr>
      <w:r>
        <w:t xml:space="preserve">messaging-pillars.md</w:t>
      </w:r>
    </w:p>
    <w:bookmarkEnd w:id="26"/>
    <w:bookmarkStart w:id="27" w:name="finance-pipeline"/>
    <w:p>
      <w:pPr>
        <w:pStyle w:val="Heading3"/>
      </w:pPr>
      <w:r>
        <w:t xml:space="preserve">Finance + pipeline</w:t>
      </w:r>
    </w:p>
    <w:p>
      <w:pPr>
        <w:numPr>
          <w:ilvl w:val="0"/>
          <w:numId w:val="1015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5"/>
        </w:numPr>
        <w:pStyle w:val="Compact"/>
      </w:pPr>
      <w:r>
        <w:t xml:space="preserve">projected-revenue-2026.xlsx</w:t>
      </w:r>
    </w:p>
    <w:p>
      <w:pPr>
        <w:numPr>
          <w:ilvl w:val="0"/>
          <w:numId w:val="1015"/>
        </w:numPr>
        <w:pStyle w:val="Compact"/>
      </w:pPr>
      <w:r>
        <w:t xml:space="preserve">pipeline-report-2026-q1.xlsx</w:t>
      </w:r>
    </w:p>
    <w:p>
      <w:pPr>
        <w:numPr>
          <w:ilvl w:val="0"/>
          <w:numId w:val="1015"/>
        </w:numPr>
        <w:pStyle w:val="Compact"/>
      </w:pPr>
      <w:r>
        <w:t xml:space="preserve">utilization-tracker-2025.xlsx</w:t>
      </w:r>
    </w:p>
    <w:p>
      <w:pPr>
        <w:numPr>
          <w:ilvl w:val="0"/>
          <w:numId w:val="1015"/>
        </w:numPr>
        <w:pStyle w:val="Compact"/>
      </w:pPr>
      <w:r>
        <w:t xml:space="preserve">kpi-definitions.json</w:t>
      </w:r>
    </w:p>
    <w:bookmarkEnd w:id="27"/>
    <w:bookmarkStart w:id="28" w:name="delivery-sample-engagement"/>
    <w:p>
      <w:pPr>
        <w:pStyle w:val="Heading3"/>
      </w:pPr>
      <w:r>
        <w:t xml:space="preserve">Delivery (sample engagement)</w:t>
      </w:r>
    </w:p>
    <w:p>
      <w:pPr>
        <w:numPr>
          <w:ilvl w:val="0"/>
          <w:numId w:val="1016"/>
        </w:numPr>
        <w:pStyle w:val="Compact"/>
      </w:pPr>
      <w:r>
        <w:t xml:space="preserve">sample-engagement-IRONCLAD/ (folder)</w:t>
      </w:r>
    </w:p>
    <w:p>
      <w:pPr>
        <w:numPr>
          <w:ilvl w:val="1"/>
          <w:numId w:val="1017"/>
        </w:numPr>
        <w:pStyle w:val="Compact"/>
      </w:pPr>
      <w:r>
        <w:t xml:space="preserve">statement-of-work.pdf</w:t>
      </w:r>
    </w:p>
    <w:p>
      <w:pPr>
        <w:numPr>
          <w:ilvl w:val="1"/>
          <w:numId w:val="1017"/>
        </w:numPr>
        <w:pStyle w:val="Compact"/>
      </w:pPr>
      <w:r>
        <w:t xml:space="preserve">kickoff-notes.md</w:t>
      </w:r>
    </w:p>
    <w:p>
      <w:pPr>
        <w:numPr>
          <w:ilvl w:val="1"/>
          <w:numId w:val="1017"/>
        </w:numPr>
        <w:pStyle w:val="Compact"/>
      </w:pPr>
      <w:r>
        <w:t xml:space="preserve">weekly-status-2026-01-12.md</w:t>
      </w:r>
    </w:p>
    <w:p>
      <w:pPr>
        <w:numPr>
          <w:ilvl w:val="1"/>
          <w:numId w:val="1017"/>
        </w:numPr>
        <w:pStyle w:val="Compact"/>
      </w:pPr>
      <w:r>
        <w:t xml:space="preserve">weekly-status-2026-01-26.md</w:t>
      </w:r>
    </w:p>
    <w:p>
      <w:pPr>
        <w:numPr>
          <w:ilvl w:val="1"/>
          <w:numId w:val="1017"/>
        </w:numPr>
        <w:pStyle w:val="Compact"/>
      </w:pPr>
      <w:r>
        <w:t xml:space="preserve">deliverable-turnaround-plan-v1.pptx</w:t>
      </w:r>
    </w:p>
    <w:p>
      <w:pPr>
        <w:numPr>
          <w:ilvl w:val="1"/>
          <w:numId w:val="1017"/>
        </w:numPr>
        <w:pStyle w:val="Compact"/>
      </w:pPr>
      <w:r>
        <w:t xml:space="preserve">deliverable-turnaround-plan-v4-FINAL.pptx</w:t>
      </w:r>
    </w:p>
    <w:p>
      <w:pPr>
        <w:numPr>
          <w:ilvl w:val="1"/>
          <w:numId w:val="1017"/>
        </w:numPr>
        <w:pStyle w:val="Compact"/>
      </w:pPr>
      <w:r>
        <w:t xml:space="preserve">benefits-tracker.xlsx</w:t>
      </w:r>
    </w:p>
    <w:p>
      <w:pPr>
        <w:numPr>
          <w:ilvl w:val="1"/>
          <w:numId w:val="1017"/>
        </w:numPr>
        <w:pStyle w:val="Compact"/>
      </w:pPr>
      <w:r>
        <w:t xml:space="preserve">closeout-summary.md (may be incomplete)</w:t>
      </w:r>
    </w:p>
    <w:bookmarkEnd w:id="28"/>
    <w:bookmarkStart w:id="29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8"/>
        </w:numPr>
        <w:pStyle w:val="Compact"/>
      </w:pPr>
      <w:r>
        <w:t xml:space="preserve">partner-meeting-notes-2026-02-03.md</w:t>
      </w:r>
    </w:p>
    <w:p>
      <w:pPr>
        <w:numPr>
          <w:ilvl w:val="0"/>
          <w:numId w:val="1018"/>
        </w:numPr>
        <w:pStyle w:val="Compact"/>
      </w:pPr>
      <w:r>
        <w:t xml:space="preserve">practice-leads-notes-2026-02-10.md</w:t>
      </w:r>
    </w:p>
    <w:p>
      <w:pPr>
        <w:numPr>
          <w:ilvl w:val="0"/>
          <w:numId w:val="1018"/>
        </w:numPr>
        <w:pStyle w:val="Compact"/>
      </w:pPr>
      <w:r>
        <w:t xml:space="preserve">voice-note-transcript-2026-02-18.md</w:t>
      </w:r>
    </w:p>
    <w:bookmarkEnd w:id="29"/>
    <w:bookmarkStart w:id="30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19"/>
        </w:numPr>
        <w:pStyle w:val="Compact"/>
      </w:pPr>
      <w:r>
        <w:t xml:space="preserve">client-intake-form.json</w:t>
      </w:r>
    </w:p>
    <w:p>
      <w:pPr>
        <w:numPr>
          <w:ilvl w:val="0"/>
          <w:numId w:val="1019"/>
        </w:numPr>
        <w:pStyle w:val="Compact"/>
      </w:pPr>
      <w:r>
        <w:t xml:space="preserve">engagement-retro-template.md</w:t>
      </w:r>
    </w:p>
    <w:p>
      <w:pPr>
        <w:numPr>
          <w:ilvl w:val="0"/>
          <w:numId w:val="1019"/>
        </w:numPr>
        <w:pStyle w:val="Compact"/>
      </w:pPr>
      <w:r>
        <w:t xml:space="preserve">consultant-performance-rubric.md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0"/>
        </w:numPr>
        <w:pStyle w:val="Compact"/>
      </w:pPr>
      <w:r>
        <w:t xml:space="preserve">practice-performance-2026-01.docx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assets/images/social/</w:t>
      </w:r>
      <w:r>
        <w:t xml:space="preserve"> </w:t>
      </w:r>
      <w:r>
        <w:t xml:space="preserve">- assets/images/diagrams/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6</w:t>
      </w:r>
      <w:r>
        <w:t xml:space="preserve"> </w:t>
      </w:r>
      <w:r>
        <w:t xml:space="preserve">- people: 22</w:t>
      </w:r>
      <w:r>
        <w:t xml:space="preserve"> </w:t>
      </w:r>
      <w:r>
        <w:t xml:space="preserve">- social: 18</w:t>
      </w:r>
      <w:r>
        <w:t xml:space="preserve"> </w:t>
      </w:r>
      <w:r>
        <w:t xml:space="preserve">- diagrams: 18</w:t>
      </w:r>
    </w:p>
    <w:bookmarkEnd w:id="32"/>
    <w:bookmarkStart w:id="33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1"/>
        </w:numPr>
        <w:pStyle w:val="Compact"/>
      </w:pPr>
      <w:r>
        <w:t xml:space="preserve">practice-performance-2026-01.docx</w:t>
      </w:r>
    </w:p>
    <w:bookmarkEnd w:id="33"/>
    <w:bookmarkEnd w:id="34"/>
    <w:bookmarkStart w:id="35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2"/>
        </w:numPr>
        <w:pStyle w:val="Compact"/>
      </w:pPr>
      <w:r>
        <w:t xml:space="preserve">2024-01: Managing Partner change (Marisol).</w:t>
      </w:r>
    </w:p>
    <w:p>
      <w:pPr>
        <w:numPr>
          <w:ilvl w:val="0"/>
          <w:numId w:val="1022"/>
        </w:numPr>
        <w:pStyle w:val="Compact"/>
      </w:pPr>
      <w:r>
        <w:t xml:space="preserve">2024-07: New Turnaround practice launched; overlaps with Ops.</w:t>
      </w:r>
    </w:p>
    <w:p>
      <w:pPr>
        <w:numPr>
          <w:ilvl w:val="0"/>
          <w:numId w:val="1022"/>
        </w:numPr>
        <w:pStyle w:val="Compact"/>
      </w:pPr>
      <w:r>
        <w:t xml:space="preserve">2025-03: Finance rolls out new utilization definition (not adopted).</w:t>
      </w:r>
    </w:p>
    <w:p>
      <w:pPr>
        <w:numPr>
          <w:ilvl w:val="0"/>
          <w:numId w:val="1022"/>
        </w:numPr>
        <w:pStyle w:val="Compact"/>
      </w:pPr>
      <w:r>
        <w:t xml:space="preserve">2025-11: Big success-fee case closes; marketing claims larger number.</w:t>
      </w:r>
    </w:p>
    <w:p>
      <w:pPr>
        <w:numPr>
          <w:ilvl w:val="0"/>
          <w:numId w:val="1022"/>
        </w:numPr>
        <w:pStyle w:val="Compact"/>
      </w:pPr>
      <w:r>
        <w:t xml:space="preserve">2026-02: Practice conflict on pipeline truth.</w:t>
      </w:r>
    </w:p>
    <w:bookmarkEnd w:id="35"/>
    <w:bookmarkStart w:id="36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3"/>
        </w:numPr>
        <w:pStyle w:val="Compact"/>
      </w:pPr>
      <w:r>
        <w:t xml:space="preserve">Queries: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What is real utilization and why do numbers differ?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Which deals are actually won vs just in CRM?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What success fees exist and how are they recognized?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Find the latest FINAL deliverable deck for IRONCLAD.</w:t>
      </w:r>
      <w:r>
        <w:t xml:space="preserve">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2026-10-20T05:52:57Z</dcterms:created>
  <dcterms:modified xsi:type="dcterms:W3CDTF">2026-10-20T05:52:57Z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