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ikam-benchmark-case-spec-idea.md"/>
    <w:p>
      <w:pPr>
        <w:pStyle w:val="Heading1"/>
      </w:pPr>
      <w:r>
        <w:t xml:space="preserve">IKAM Benchmark Case Spec (idea.md)</w:t>
      </w:r>
    </w:p>
    <w:bookmarkStart w:id="20" w:name="identity"/>
    <w:p>
      <w:pPr>
        <w:pStyle w:val="Heading2"/>
      </w:pPr>
      <w:r>
        <w:t xml:space="preserve">Identity</w:t>
      </w:r>
    </w:p>
    <w:p>
      <w:pPr>
        <w:numPr>
          <w:ilvl w:val="0"/>
          <w:numId w:val="1001"/>
        </w:numPr>
        <w:pStyle w:val="Compact"/>
      </w:pPr>
      <w:r>
        <w:t xml:space="preserve">Case ID: l-healthcare-clinic-v01</w:t>
      </w:r>
    </w:p>
    <w:p>
      <w:pPr>
        <w:numPr>
          <w:ilvl w:val="0"/>
          <w:numId w:val="1001"/>
        </w:numPr>
        <w:pStyle w:val="Compact"/>
      </w:pPr>
      <w:r>
        <w:t xml:space="preserve">Business name: Harborview Care Partners (HCP)</w:t>
      </w:r>
    </w:p>
    <w:p>
      <w:pPr>
        <w:numPr>
          <w:ilvl w:val="0"/>
          <w:numId w:val="1001"/>
        </w:numPr>
        <w:pStyle w:val="Compact"/>
      </w:pPr>
      <w:r>
        <w:t xml:space="preserve">Industry / domain: Healthcare clinic (multi-site primary care + urgent care)</w:t>
      </w:r>
    </w:p>
    <w:p>
      <w:pPr>
        <w:numPr>
          <w:ilvl w:val="0"/>
          <w:numId w:val="1001"/>
        </w:numPr>
        <w:pStyle w:val="Compact"/>
      </w:pPr>
      <w:r>
        <w:t xml:space="preserve">Business model: outpatient care; mix of insurance + self-pay; limited employer contracts</w:t>
      </w:r>
    </w:p>
    <w:p>
      <w:pPr>
        <w:numPr>
          <w:ilvl w:val="0"/>
          <w:numId w:val="1001"/>
        </w:numPr>
        <w:pStyle w:val="Compact"/>
      </w:pPr>
      <w:r>
        <w:t xml:space="preserve">Locations / operating region: Northern California (6 clinics)</w:t>
      </w:r>
    </w:p>
    <w:p>
      <w:pPr>
        <w:numPr>
          <w:ilvl w:val="0"/>
          <w:numId w:val="1001"/>
        </w:numPr>
        <w:pStyle w:val="Compact"/>
      </w:pPr>
      <w:r>
        <w:t xml:space="preserve">Size tier: l</w:t>
      </w:r>
    </w:p>
    <w:p>
      <w:pPr>
        <w:numPr>
          <w:ilvl w:val="0"/>
          <w:numId w:val="1001"/>
        </w:numPr>
        <w:pStyle w:val="Compact"/>
      </w:pPr>
      <w:r>
        <w:t xml:space="preserve">Org maturity: established operations; policy/procedure drift across sites</w:t>
      </w:r>
    </w:p>
    <w:bookmarkEnd w:id="20"/>
    <w:bookmarkStart w:id="21" w:name="high-level-description"/>
    <w:p>
      <w:pPr>
        <w:pStyle w:val="Heading2"/>
      </w:pPr>
      <w:r>
        <w:t xml:space="preserve">High-level description</w:t>
      </w:r>
    </w:p>
    <w:p>
      <w:pPr>
        <w:numPr>
          <w:ilvl w:val="0"/>
          <w:numId w:val="1002"/>
        </w:numPr>
        <w:pStyle w:val="Compact"/>
      </w:pPr>
      <w:r>
        <w:t xml:space="preserve">One-liner: A growing clinic network with operational and compliance artifacts spread across HR, clinical operations, and billing—definitions drift and different</w:t>
      </w:r>
      <w:r>
        <w:t xml:space="preserve"> </w:t>
      </w:r>
      <w:r>
        <w:t xml:space="preserve">“</w:t>
      </w:r>
      <w:r>
        <w:t xml:space="preserve">latest</w:t>
      </w:r>
      <w:r>
        <w:t xml:space="preserve">”</w:t>
      </w:r>
      <w:r>
        <w:t xml:space="preserve"> </w:t>
      </w:r>
      <w:r>
        <w:t xml:space="preserve">docs circulate.</w:t>
      </w:r>
    </w:p>
    <w:bookmarkEnd w:id="21"/>
    <w:bookmarkStart w:id="22" w:name="operating-model"/>
    <w:p>
      <w:pPr>
        <w:pStyle w:val="Heading2"/>
      </w:pPr>
      <w:r>
        <w:t xml:space="preserve">Operating model</w:t>
      </w:r>
    </w:p>
    <w:p>
      <w:pPr>
        <w:numPr>
          <w:ilvl w:val="0"/>
          <w:numId w:val="1003"/>
        </w:numPr>
        <w:pStyle w:val="Compact"/>
      </w:pPr>
      <w:r>
        <w:t xml:space="preserve">Functions:</w:t>
      </w:r>
    </w:p>
    <w:p>
      <w:pPr>
        <w:numPr>
          <w:ilvl w:val="1"/>
          <w:numId w:val="1004"/>
        </w:numPr>
        <w:pStyle w:val="Compact"/>
      </w:pPr>
      <w:r>
        <w:t xml:space="preserve">Clinical operations</w:t>
      </w:r>
    </w:p>
    <w:p>
      <w:pPr>
        <w:numPr>
          <w:ilvl w:val="1"/>
          <w:numId w:val="1004"/>
        </w:numPr>
        <w:pStyle w:val="Compact"/>
      </w:pPr>
      <w:r>
        <w:t xml:space="preserve">Nursing</w:t>
      </w:r>
    </w:p>
    <w:p>
      <w:pPr>
        <w:numPr>
          <w:ilvl w:val="1"/>
          <w:numId w:val="1004"/>
        </w:numPr>
        <w:pStyle w:val="Compact"/>
      </w:pPr>
      <w:r>
        <w:t xml:space="preserve">Front desk / scheduling</w:t>
      </w:r>
    </w:p>
    <w:p>
      <w:pPr>
        <w:numPr>
          <w:ilvl w:val="1"/>
          <w:numId w:val="1004"/>
        </w:numPr>
        <w:pStyle w:val="Compact"/>
      </w:pPr>
      <w:r>
        <w:t xml:space="preserve">Billing / revenue cycle</w:t>
      </w:r>
    </w:p>
    <w:p>
      <w:pPr>
        <w:numPr>
          <w:ilvl w:val="1"/>
          <w:numId w:val="1004"/>
        </w:numPr>
        <w:pStyle w:val="Compact"/>
      </w:pPr>
      <w:r>
        <w:t xml:space="preserve">Compliance / privacy</w:t>
      </w:r>
    </w:p>
    <w:p>
      <w:pPr>
        <w:numPr>
          <w:ilvl w:val="1"/>
          <w:numId w:val="1004"/>
        </w:numPr>
        <w:pStyle w:val="Compact"/>
      </w:pPr>
      <w:r>
        <w:t xml:space="preserve">HR / recruiting</w:t>
      </w:r>
    </w:p>
    <w:p>
      <w:pPr>
        <w:numPr>
          <w:ilvl w:val="1"/>
          <w:numId w:val="1004"/>
        </w:numPr>
        <w:pStyle w:val="Compact"/>
      </w:pPr>
      <w:r>
        <w:t xml:space="preserve">Finance</w:t>
      </w:r>
    </w:p>
    <w:p>
      <w:pPr>
        <w:numPr>
          <w:ilvl w:val="0"/>
          <w:numId w:val="1003"/>
        </w:numPr>
        <w:pStyle w:val="Compact"/>
      </w:pPr>
      <w:r>
        <w:t xml:space="preserve">Key roles:</w:t>
      </w:r>
    </w:p>
    <w:p>
      <w:pPr>
        <w:numPr>
          <w:ilvl w:val="1"/>
          <w:numId w:val="1005"/>
        </w:numPr>
        <w:pStyle w:val="Compact"/>
      </w:pPr>
      <w:r>
        <w:t xml:space="preserve">Dr. Lila Moreno — Medical Director</w:t>
      </w:r>
    </w:p>
    <w:p>
      <w:pPr>
        <w:numPr>
          <w:ilvl w:val="1"/>
          <w:numId w:val="1005"/>
        </w:numPr>
        <w:pStyle w:val="Compact"/>
      </w:pPr>
      <w:r>
        <w:t xml:space="preserve">Ethan Park — COO</w:t>
      </w:r>
    </w:p>
    <w:p>
      <w:pPr>
        <w:numPr>
          <w:ilvl w:val="1"/>
          <w:numId w:val="1005"/>
        </w:numPr>
        <w:pStyle w:val="Compact"/>
      </w:pPr>
      <w:r>
        <w:t xml:space="preserve">Naomi Chen — Director of Nursing</w:t>
      </w:r>
    </w:p>
    <w:p>
      <w:pPr>
        <w:numPr>
          <w:ilvl w:val="1"/>
          <w:numId w:val="1005"/>
        </w:numPr>
        <w:pStyle w:val="Compact"/>
      </w:pPr>
      <w:r>
        <w:t xml:space="preserve">Sofia Alvarez — Revenue Cycle Manager</w:t>
      </w:r>
    </w:p>
    <w:p>
      <w:pPr>
        <w:numPr>
          <w:ilvl w:val="1"/>
          <w:numId w:val="1005"/>
        </w:numPr>
        <w:pStyle w:val="Compact"/>
      </w:pPr>
      <w:r>
        <w:t xml:space="preserve">Jordan Blake — Compliance Officer</w:t>
      </w:r>
    </w:p>
    <w:p>
      <w:pPr>
        <w:numPr>
          <w:ilvl w:val="1"/>
          <w:numId w:val="1005"/>
        </w:numPr>
        <w:pStyle w:val="Compact"/>
      </w:pPr>
      <w:r>
        <w:t xml:space="preserve">Priya Desai — HR Manager</w:t>
      </w:r>
    </w:p>
    <w:bookmarkEnd w:id="22"/>
    <w:bookmarkStart w:id="23" w:name="chaos-profile-new-pick-tracked"/>
    <w:p>
      <w:pPr>
        <w:pStyle w:val="Heading2"/>
      </w:pPr>
      <w:r>
        <w:t xml:space="preserve">Chaos profile (new pick; tracked)</w:t>
      </w:r>
    </w:p>
    <w:p>
      <w:pPr>
        <w:numPr>
          <w:ilvl w:val="0"/>
          <w:numId w:val="1006"/>
        </w:numPr>
        <w:pStyle w:val="Compact"/>
      </w:pPr>
      <w:r>
        <w:t xml:space="preserve">Overall chaos level (1–5):</w:t>
      </w:r>
      <w:r>
        <w:t xml:space="preserve"> </w:t>
      </w:r>
      <w:r>
        <w:rPr>
          <w:bCs/>
          <w:b/>
        </w:rPr>
        <w:t xml:space="preserve">4</w:t>
      </w:r>
    </w:p>
    <w:p>
      <w:pPr>
        <w:numPr>
          <w:ilvl w:val="0"/>
          <w:numId w:val="1006"/>
        </w:numPr>
        <w:pStyle w:val="Compact"/>
      </w:pPr>
      <w:r>
        <w:t xml:space="preserve">Rationale: more sites → more SOP versions; billing rules and clinical policies drift.</w:t>
      </w:r>
    </w:p>
    <w:p>
      <w:pPr>
        <w:numPr>
          <w:ilvl w:val="0"/>
          <w:numId w:val="1006"/>
        </w:numPr>
        <w:pStyle w:val="Compact"/>
      </w:pPr>
      <w:r>
        <w:t xml:space="preserve">Where chaos lives:</w:t>
      </w:r>
    </w:p>
    <w:p>
      <w:pPr>
        <w:numPr>
          <w:ilvl w:val="1"/>
          <w:numId w:val="1007"/>
        </w:numPr>
        <w:pStyle w:val="Compact"/>
      </w:pPr>
      <w:r>
        <w:t xml:space="preserve">☒ policy version confusion (handbooks + clinical SOPs)</w:t>
      </w:r>
    </w:p>
    <w:p>
      <w:pPr>
        <w:numPr>
          <w:ilvl w:val="1"/>
          <w:numId w:val="1007"/>
        </w:numPr>
        <w:pStyle w:val="Compact"/>
      </w:pPr>
      <w:r>
        <w:t xml:space="preserve">☒ inconsistent KPI definitions (no-show rate, wait time)</w:t>
      </w:r>
    </w:p>
    <w:p>
      <w:pPr>
        <w:numPr>
          <w:ilvl w:val="1"/>
          <w:numId w:val="1007"/>
        </w:numPr>
        <w:pStyle w:val="Compact"/>
      </w:pPr>
      <w:r>
        <w:t xml:space="preserve">☒ incident reporting variability (near-miss vs reportable)</w:t>
      </w:r>
    </w:p>
    <w:p>
      <w:pPr>
        <w:numPr>
          <w:ilvl w:val="1"/>
          <w:numId w:val="1007"/>
        </w:numPr>
        <w:pStyle w:val="Compact"/>
      </w:pPr>
      <w:r>
        <w:t xml:space="preserve">☒ scheduling templates maintained locally</w:t>
      </w:r>
    </w:p>
    <w:bookmarkEnd w:id="23"/>
    <w:bookmarkStart w:id="24" w:name="intentional-contradictions"/>
    <w:p>
      <w:pPr>
        <w:pStyle w:val="Heading2"/>
      </w:pPr>
      <w:r>
        <w:t xml:space="preserve">Intentional contradictions</w:t>
      </w:r>
    </w:p>
    <w:p>
      <w:pPr>
        <w:numPr>
          <w:ilvl w:val="0"/>
          <w:numId w:val="1008"/>
        </w:numPr>
        <w:pStyle w:val="Compact"/>
      </w:pPr>
      <w:r>
        <w:t xml:space="preserve">No-show rate:</w:t>
      </w:r>
    </w:p>
    <w:p>
      <w:pPr>
        <w:numPr>
          <w:ilvl w:val="1"/>
          <w:numId w:val="1009"/>
        </w:numPr>
        <w:pStyle w:val="Compact"/>
      </w:pPr>
      <w:r>
        <w:t xml:space="preserve">Operations dashboard excludes late-cancels</w:t>
      </w:r>
    </w:p>
    <w:p>
      <w:pPr>
        <w:numPr>
          <w:ilvl w:val="1"/>
          <w:numId w:val="1009"/>
        </w:numPr>
        <w:pStyle w:val="Compact"/>
      </w:pPr>
      <w:r>
        <w:t xml:space="preserve">Revenue cycle report includes late-cancels as no-shows</w:t>
      </w:r>
    </w:p>
    <w:p>
      <w:pPr>
        <w:numPr>
          <w:ilvl w:val="0"/>
          <w:numId w:val="1008"/>
        </w:numPr>
        <w:pStyle w:val="Compact"/>
      </w:pPr>
      <w:r>
        <w:t xml:space="preserve">HIPAA training compliance:</w:t>
      </w:r>
    </w:p>
    <w:p>
      <w:pPr>
        <w:numPr>
          <w:ilvl w:val="1"/>
          <w:numId w:val="1010"/>
        </w:numPr>
        <w:pStyle w:val="Compact"/>
      </w:pPr>
      <w:r>
        <w:t xml:space="preserve">HR spreadsheet shows 98% completion</w:t>
      </w:r>
    </w:p>
    <w:p>
      <w:pPr>
        <w:numPr>
          <w:ilvl w:val="1"/>
          <w:numId w:val="1010"/>
        </w:numPr>
        <w:pStyle w:val="Compact"/>
      </w:pPr>
      <w:r>
        <w:t xml:space="preserve">Compliance audit memo cites 91% (different roster)</w:t>
      </w:r>
    </w:p>
    <w:p>
      <w:pPr>
        <w:numPr>
          <w:ilvl w:val="0"/>
          <w:numId w:val="1008"/>
        </w:numPr>
        <w:pStyle w:val="Compact"/>
      </w:pPr>
      <w:r>
        <w:t xml:space="preserve">Patient wait time:</w:t>
      </w:r>
    </w:p>
    <w:p>
      <w:pPr>
        <w:numPr>
          <w:ilvl w:val="1"/>
          <w:numId w:val="1011"/>
        </w:numPr>
        <w:pStyle w:val="Compact"/>
      </w:pPr>
      <w:r>
        <w:t xml:space="preserve">Clinic A reports</w:t>
      </w:r>
      <w:r>
        <w:t xml:space="preserve"> </w:t>
      </w:r>
      <w:r>
        <w:t xml:space="preserve">“</w:t>
      </w:r>
      <w:r>
        <w:t xml:space="preserve">door-to-doc</w:t>
      </w:r>
      <w:r>
        <w:t xml:space="preserve">”</w:t>
      </w:r>
    </w:p>
    <w:p>
      <w:pPr>
        <w:numPr>
          <w:ilvl w:val="1"/>
          <w:numId w:val="1011"/>
        </w:numPr>
        <w:pStyle w:val="Compact"/>
      </w:pPr>
      <w:r>
        <w:t xml:space="preserve">Exec scorecard uses</w:t>
      </w:r>
      <w:r>
        <w:t xml:space="preserve"> </w:t>
      </w:r>
      <w:r>
        <w:t xml:space="preserve">“</w:t>
      </w:r>
      <w:r>
        <w:t xml:space="preserve">arrival-to-departure</w:t>
      </w:r>
      <w:r>
        <w:t xml:space="preserve">”</w:t>
      </w:r>
    </w:p>
    <w:bookmarkEnd w:id="24"/>
    <w:bookmarkStart w:id="36" w:name="artifact-set"/>
    <w:p>
      <w:pPr>
        <w:pStyle w:val="Heading2"/>
      </w:pPr>
      <w:r>
        <w:t xml:space="preserve">Artifact set</w:t>
      </w:r>
    </w:p>
    <w:bookmarkStart w:id="25" w:name="strategy-identity"/>
    <w:p>
      <w:pPr>
        <w:pStyle w:val="Heading3"/>
      </w:pPr>
      <w:r>
        <w:t xml:space="preserve">Strategy + identity</w:t>
      </w:r>
    </w:p>
    <w:p>
      <w:pPr>
        <w:numPr>
          <w:ilvl w:val="0"/>
          <w:numId w:val="1012"/>
        </w:numPr>
        <w:pStyle w:val="Compact"/>
      </w:pPr>
      <w:r>
        <w:t xml:space="preserve">mission-vision-values.md</w:t>
      </w:r>
    </w:p>
    <w:p>
      <w:pPr>
        <w:numPr>
          <w:ilvl w:val="0"/>
          <w:numId w:val="1012"/>
        </w:numPr>
        <w:pStyle w:val="Compact"/>
      </w:pPr>
      <w:r>
        <w:t xml:space="preserve">brand-guide.md</w:t>
      </w:r>
    </w:p>
    <w:p>
      <w:pPr>
        <w:numPr>
          <w:ilvl w:val="0"/>
          <w:numId w:val="1012"/>
        </w:numPr>
        <w:pStyle w:val="Compact"/>
      </w:pPr>
      <w:r>
        <w:t xml:space="preserve">high-level-strategy-2026.md</w:t>
      </w:r>
    </w:p>
    <w:p>
      <w:pPr>
        <w:numPr>
          <w:ilvl w:val="0"/>
          <w:numId w:val="1012"/>
        </w:numPr>
        <w:pStyle w:val="Compact"/>
      </w:pPr>
      <w:r>
        <w:t xml:space="preserve">org-structure.json</w:t>
      </w:r>
    </w:p>
    <w:bookmarkEnd w:id="25"/>
    <w:bookmarkStart w:id="26" w:name="clinical-ops"/>
    <w:p>
      <w:pPr>
        <w:pStyle w:val="Heading3"/>
      </w:pPr>
      <w:r>
        <w:t xml:space="preserve">Clinical ops</w:t>
      </w:r>
    </w:p>
    <w:p>
      <w:pPr>
        <w:numPr>
          <w:ilvl w:val="0"/>
          <w:numId w:val="1013"/>
        </w:numPr>
        <w:pStyle w:val="Compact"/>
      </w:pPr>
      <w:r>
        <w:t xml:space="preserve">clinical-sop-triage-v2.md</w:t>
      </w:r>
    </w:p>
    <w:p>
      <w:pPr>
        <w:numPr>
          <w:ilvl w:val="0"/>
          <w:numId w:val="1013"/>
        </w:numPr>
        <w:pStyle w:val="Compact"/>
      </w:pPr>
      <w:r>
        <w:t xml:space="preserve">clinical-sop-triage-v3-DRAFT.md</w:t>
      </w:r>
    </w:p>
    <w:p>
      <w:pPr>
        <w:numPr>
          <w:ilvl w:val="0"/>
          <w:numId w:val="1013"/>
        </w:numPr>
        <w:pStyle w:val="Compact"/>
      </w:pPr>
      <w:r>
        <w:t xml:space="preserve">urgent-care-protocols.pdf</w:t>
      </w:r>
    </w:p>
    <w:p>
      <w:pPr>
        <w:numPr>
          <w:ilvl w:val="0"/>
          <w:numId w:val="1013"/>
        </w:numPr>
        <w:pStyle w:val="Compact"/>
      </w:pPr>
      <w:r>
        <w:t xml:space="preserve">clinic-site-operations-playbook.md</w:t>
      </w:r>
    </w:p>
    <w:bookmarkEnd w:id="26"/>
    <w:bookmarkStart w:id="27" w:name="scheduling-front-desk"/>
    <w:p>
      <w:pPr>
        <w:pStyle w:val="Heading3"/>
      </w:pPr>
      <w:r>
        <w:t xml:space="preserve">Scheduling + front desk</w:t>
      </w:r>
    </w:p>
    <w:p>
      <w:pPr>
        <w:numPr>
          <w:ilvl w:val="0"/>
          <w:numId w:val="1014"/>
        </w:numPr>
        <w:pStyle w:val="Compact"/>
      </w:pPr>
      <w:r>
        <w:t xml:space="preserve">scheduling-template-clinic-a.xlsx</w:t>
      </w:r>
    </w:p>
    <w:p>
      <w:pPr>
        <w:numPr>
          <w:ilvl w:val="0"/>
          <w:numId w:val="1014"/>
        </w:numPr>
        <w:pStyle w:val="Compact"/>
      </w:pPr>
      <w:r>
        <w:t xml:space="preserve">scheduling-template-clinic-d.xlsx</w:t>
      </w:r>
    </w:p>
    <w:p>
      <w:pPr>
        <w:numPr>
          <w:ilvl w:val="0"/>
          <w:numId w:val="1014"/>
        </w:numPr>
        <w:pStyle w:val="Compact"/>
      </w:pPr>
      <w:r>
        <w:t xml:space="preserve">call-center-script.md</w:t>
      </w:r>
    </w:p>
    <w:p>
      <w:pPr>
        <w:numPr>
          <w:ilvl w:val="0"/>
          <w:numId w:val="1014"/>
        </w:numPr>
        <w:pStyle w:val="Compact"/>
      </w:pPr>
      <w:r>
        <w:t xml:space="preserve">patient-intake-form.json</w:t>
      </w:r>
    </w:p>
    <w:bookmarkEnd w:id="27"/>
    <w:bookmarkStart w:id="28" w:name="compliance-hr"/>
    <w:p>
      <w:pPr>
        <w:pStyle w:val="Heading3"/>
      </w:pPr>
      <w:r>
        <w:t xml:space="preserve">Compliance + HR</w:t>
      </w:r>
    </w:p>
    <w:p>
      <w:pPr>
        <w:numPr>
          <w:ilvl w:val="0"/>
          <w:numId w:val="1015"/>
        </w:numPr>
        <w:pStyle w:val="Compact"/>
      </w:pPr>
      <w:r>
        <w:t xml:space="preserve">hipaa-training-tracker-2026.xlsx</w:t>
      </w:r>
    </w:p>
    <w:p>
      <w:pPr>
        <w:numPr>
          <w:ilvl w:val="0"/>
          <w:numId w:val="1015"/>
        </w:numPr>
        <w:pStyle w:val="Compact"/>
      </w:pPr>
      <w:r>
        <w:t xml:space="preserve">compliance-audit-memo-2026-01.md</w:t>
      </w:r>
    </w:p>
    <w:p>
      <w:pPr>
        <w:numPr>
          <w:ilvl w:val="0"/>
          <w:numId w:val="1015"/>
        </w:numPr>
        <w:pStyle w:val="Compact"/>
      </w:pPr>
      <w:r>
        <w:t xml:space="preserve">employee-handbook-v4.md</w:t>
      </w:r>
    </w:p>
    <w:p>
      <w:pPr>
        <w:numPr>
          <w:ilvl w:val="0"/>
          <w:numId w:val="1015"/>
        </w:numPr>
        <w:pStyle w:val="Compact"/>
      </w:pPr>
      <w:r>
        <w:t xml:space="preserve">employee-handbook-v5.md</w:t>
      </w:r>
    </w:p>
    <w:bookmarkEnd w:id="28"/>
    <w:bookmarkStart w:id="29" w:name="revenue-cycle"/>
    <w:p>
      <w:pPr>
        <w:pStyle w:val="Heading3"/>
      </w:pPr>
      <w:r>
        <w:t xml:space="preserve">Revenue cycle</w:t>
      </w:r>
    </w:p>
    <w:p>
      <w:pPr>
        <w:numPr>
          <w:ilvl w:val="0"/>
          <w:numId w:val="1016"/>
        </w:numPr>
        <w:pStyle w:val="Compact"/>
      </w:pPr>
      <w:r>
        <w:t xml:space="preserve">billing-kpi-definitions.json</w:t>
      </w:r>
    </w:p>
    <w:p>
      <w:pPr>
        <w:numPr>
          <w:ilvl w:val="0"/>
          <w:numId w:val="1016"/>
        </w:numPr>
        <w:pStyle w:val="Compact"/>
      </w:pPr>
      <w:r>
        <w:t xml:space="preserve">denial-log-2025-q4.xlsx</w:t>
      </w:r>
    </w:p>
    <w:p>
      <w:pPr>
        <w:numPr>
          <w:ilvl w:val="0"/>
          <w:numId w:val="1016"/>
        </w:numPr>
        <w:pStyle w:val="Compact"/>
      </w:pPr>
      <w:r>
        <w:t xml:space="preserve">no-show-report-2026-01.xlsx</w:t>
      </w:r>
    </w:p>
    <w:p>
      <w:pPr>
        <w:numPr>
          <w:ilvl w:val="0"/>
          <w:numId w:val="1016"/>
        </w:numPr>
        <w:pStyle w:val="Compact"/>
      </w:pPr>
      <w:r>
        <w:t xml:space="preserve">payer-mix-2025.xlsx</w:t>
      </w:r>
    </w:p>
    <w:bookmarkEnd w:id="29"/>
    <w:bookmarkStart w:id="30" w:name="finance"/>
    <w:p>
      <w:pPr>
        <w:pStyle w:val="Heading3"/>
      </w:pPr>
      <w:r>
        <w:t xml:space="preserve">Finance</w:t>
      </w:r>
    </w:p>
    <w:p>
      <w:pPr>
        <w:numPr>
          <w:ilvl w:val="0"/>
          <w:numId w:val="1017"/>
        </w:numPr>
        <w:pStyle w:val="Compact"/>
      </w:pPr>
      <w:r>
        <w:t xml:space="preserve">quarterly-revenue-history-2024-2025.xlsx</w:t>
      </w:r>
    </w:p>
    <w:p>
      <w:pPr>
        <w:numPr>
          <w:ilvl w:val="0"/>
          <w:numId w:val="1017"/>
        </w:numPr>
        <w:pStyle w:val="Compact"/>
      </w:pPr>
      <w:r>
        <w:t xml:space="preserve">projected-revenue-2026.xlsx</w:t>
      </w:r>
    </w:p>
    <w:p>
      <w:pPr>
        <w:numPr>
          <w:ilvl w:val="0"/>
          <w:numId w:val="1017"/>
        </w:numPr>
        <w:pStyle w:val="Compact"/>
      </w:pPr>
      <w:r>
        <w:t xml:space="preserve">clinic-pnl-2025.xlsx</w:t>
      </w:r>
    </w:p>
    <w:p>
      <w:pPr>
        <w:numPr>
          <w:ilvl w:val="0"/>
          <w:numId w:val="1017"/>
        </w:numPr>
        <w:pStyle w:val="Compact"/>
      </w:pPr>
      <w:r>
        <w:t xml:space="preserve">exec-scorecard-2026-01.pdf</w:t>
      </w:r>
    </w:p>
    <w:bookmarkEnd w:id="30"/>
    <w:bookmarkStart w:id="31" w:name="meetings-notes"/>
    <w:p>
      <w:pPr>
        <w:pStyle w:val="Heading3"/>
      </w:pPr>
      <w:r>
        <w:t xml:space="preserve">Meetings + notes</w:t>
      </w:r>
    </w:p>
    <w:p>
      <w:pPr>
        <w:numPr>
          <w:ilvl w:val="0"/>
          <w:numId w:val="1018"/>
        </w:numPr>
        <w:pStyle w:val="Compact"/>
      </w:pPr>
      <w:r>
        <w:t xml:space="preserve">ops-review-notes-2026-01-22.md</w:t>
      </w:r>
    </w:p>
    <w:p>
      <w:pPr>
        <w:numPr>
          <w:ilvl w:val="0"/>
          <w:numId w:val="1018"/>
        </w:numPr>
        <w:pStyle w:val="Compact"/>
      </w:pPr>
      <w:r>
        <w:t xml:space="preserve">nursing-huddle-notes-2026-02-04.md</w:t>
      </w:r>
    </w:p>
    <w:p>
      <w:pPr>
        <w:numPr>
          <w:ilvl w:val="0"/>
          <w:numId w:val="1018"/>
        </w:numPr>
        <w:pStyle w:val="Compact"/>
      </w:pPr>
      <w:r>
        <w:t xml:space="preserve">voice-note-transcript-2026-02-10.md</w:t>
      </w:r>
    </w:p>
    <w:bookmarkEnd w:id="31"/>
    <w:bookmarkStart w:id="32" w:name="templates"/>
    <w:p>
      <w:pPr>
        <w:pStyle w:val="Heading3"/>
      </w:pPr>
      <w:r>
        <w:t xml:space="preserve">Templates</w:t>
      </w:r>
    </w:p>
    <w:p>
      <w:pPr>
        <w:numPr>
          <w:ilvl w:val="0"/>
          <w:numId w:val="1019"/>
        </w:numPr>
        <w:pStyle w:val="Compact"/>
      </w:pPr>
      <w:r>
        <w:t xml:space="preserve">incident-report-template.md</w:t>
      </w:r>
    </w:p>
    <w:p>
      <w:pPr>
        <w:numPr>
          <w:ilvl w:val="0"/>
          <w:numId w:val="1019"/>
        </w:numPr>
        <w:pStyle w:val="Compact"/>
      </w:pPr>
      <w:r>
        <w:t xml:space="preserve">patient-complaint-template.md</w:t>
      </w:r>
    </w:p>
    <w:p>
      <w:pPr>
        <w:numPr>
          <w:ilvl w:val="0"/>
          <w:numId w:val="1019"/>
        </w:numPr>
        <w:pStyle w:val="Compact"/>
      </w:pPr>
      <w:r>
        <w:t xml:space="preserve">provider-onboarding-checklist.md</w:t>
      </w:r>
    </w:p>
    <w:bookmarkEnd w:id="32"/>
    <w:bookmarkStart w:id="33" w:name="word-documents-.docx"/>
    <w:p>
      <w:pPr>
        <w:pStyle w:val="Heading3"/>
      </w:pPr>
      <w:r>
        <w:t xml:space="preserve">Word documents (.docx)</w:t>
      </w:r>
    </w:p>
    <w:p>
      <w:pPr>
        <w:numPr>
          <w:ilvl w:val="0"/>
          <w:numId w:val="1020"/>
        </w:numPr>
        <w:pStyle w:val="Compact"/>
      </w:pPr>
      <w:r>
        <w:t xml:space="preserve">network-ops-summary-2026-01.docx</w:t>
      </w:r>
    </w:p>
    <w:bookmarkEnd w:id="33"/>
    <w:bookmarkStart w:id="34" w:name="images-mixed-generated"/>
    <w:p>
      <w:pPr>
        <w:pStyle w:val="Heading3"/>
      </w:pPr>
      <w:r>
        <w:t xml:space="preserve">Images (mixed; generated)</w:t>
      </w:r>
    </w:p>
    <w:p>
      <w:pPr>
        <w:pStyle w:val="FirstParagraph"/>
      </w:pPr>
      <w:r>
        <w:t xml:space="preserve">Documentation:</w:t>
      </w:r>
      <w:r>
        <w:t xml:space="preserve"> </w:t>
      </w:r>
      <w:r>
        <w:t xml:space="preserve">- assets/images/README.md</w:t>
      </w:r>
    </w:p>
    <w:p>
      <w:pPr>
        <w:pStyle w:val="BodyText"/>
      </w:pPr>
      <w:r>
        <w:t xml:space="preserve">Folders:</w:t>
      </w:r>
      <w:r>
        <w:t xml:space="preserve"> </w:t>
      </w:r>
      <w:r>
        <w:t xml:space="preserve">- assets/images/logos/</w:t>
      </w:r>
      <w:r>
        <w:t xml:space="preserve"> </w:t>
      </w:r>
      <w:r>
        <w:t xml:space="preserve">- assets/images/people/</w:t>
      </w:r>
      <w:r>
        <w:t xml:space="preserve"> </w:t>
      </w:r>
      <w:r>
        <w:t xml:space="preserve">- assets/images/clinic/</w:t>
      </w:r>
      <w:r>
        <w:t xml:space="preserve"> </w:t>
      </w:r>
      <w:r>
        <w:t xml:space="preserve">- assets/images/diagrams/</w:t>
      </w:r>
      <w:r>
        <w:t xml:space="preserve"> </w:t>
      </w:r>
      <w:r>
        <w:t xml:space="preserve">- assets/images/social/</w:t>
      </w:r>
    </w:p>
    <w:p>
      <w:pPr>
        <w:pStyle w:val="BodyText"/>
      </w:pPr>
      <w:r>
        <w:t xml:space="preserve">Metadata:</w:t>
      </w:r>
      <w:r>
        <w:t xml:space="preserve"> </w:t>
      </w:r>
      <w:r>
        <w:t xml:space="preserve">- assets/images/prompts.jsonl</w:t>
      </w:r>
    </w:p>
    <w:p>
      <w:pPr>
        <w:pStyle w:val="BodyText"/>
      </w:pPr>
      <w:r>
        <w:t xml:space="preserve">Targets (exact):</w:t>
      </w:r>
      <w:r>
        <w:t xml:space="preserve"> </w:t>
      </w:r>
      <w:r>
        <w:t xml:space="preserve">- logos: 8</w:t>
      </w:r>
      <w:r>
        <w:t xml:space="preserve"> </w:t>
      </w:r>
      <w:r>
        <w:t xml:space="preserve">- people: 22</w:t>
      </w:r>
      <w:r>
        <w:t xml:space="preserve"> </w:t>
      </w:r>
      <w:r>
        <w:t xml:space="preserve">- clinic: 22</w:t>
      </w:r>
      <w:r>
        <w:t xml:space="preserve"> </w:t>
      </w:r>
      <w:r>
        <w:t xml:space="preserve">- diagrams: 16</w:t>
      </w:r>
      <w:r>
        <w:t xml:space="preserve"> </w:t>
      </w:r>
      <w:r>
        <w:t xml:space="preserve">- social: 8</w:t>
      </w:r>
    </w:p>
    <w:bookmarkEnd w:id="34"/>
    <w:bookmarkStart w:id="35" w:name="word-documents-.docx-1"/>
    <w:p>
      <w:pPr>
        <w:pStyle w:val="Heading3"/>
      </w:pPr>
      <w:r>
        <w:t xml:space="preserve">Word documents (.docx)</w:t>
      </w:r>
    </w:p>
    <w:p>
      <w:pPr>
        <w:numPr>
          <w:ilvl w:val="0"/>
          <w:numId w:val="1021"/>
        </w:numPr>
        <w:pStyle w:val="Compact"/>
      </w:pPr>
      <w:r>
        <w:t xml:space="preserve">network-ops-summary-2026-01.docx</w:t>
      </w:r>
    </w:p>
    <w:bookmarkEnd w:id="35"/>
    <w:bookmarkEnd w:id="36"/>
    <w:bookmarkStart w:id="37" w:name="timeline-of-significant-events"/>
    <w:p>
      <w:pPr>
        <w:pStyle w:val="Heading2"/>
      </w:pPr>
      <w:r>
        <w:t xml:space="preserve">Timeline of significant events</w:t>
      </w:r>
    </w:p>
    <w:p>
      <w:pPr>
        <w:numPr>
          <w:ilvl w:val="0"/>
          <w:numId w:val="1022"/>
        </w:numPr>
        <w:pStyle w:val="Compact"/>
      </w:pPr>
      <w:r>
        <w:t xml:space="preserve">2024-08: Added two new clinic sites.</w:t>
      </w:r>
    </w:p>
    <w:p>
      <w:pPr>
        <w:numPr>
          <w:ilvl w:val="0"/>
          <w:numId w:val="1022"/>
        </w:numPr>
        <w:pStyle w:val="Compact"/>
      </w:pPr>
      <w:r>
        <w:t xml:space="preserve">2025-03: Updated triage SOP (v2).</w:t>
      </w:r>
    </w:p>
    <w:p>
      <w:pPr>
        <w:numPr>
          <w:ilvl w:val="0"/>
          <w:numId w:val="1022"/>
        </w:numPr>
        <w:pStyle w:val="Compact"/>
      </w:pPr>
      <w:r>
        <w:t xml:space="preserve">2025-11: Billing denial rates rose with payer policy change.</w:t>
      </w:r>
    </w:p>
    <w:p>
      <w:pPr>
        <w:numPr>
          <w:ilvl w:val="0"/>
          <w:numId w:val="1022"/>
        </w:numPr>
        <w:pStyle w:val="Compact"/>
      </w:pPr>
      <w:r>
        <w:t xml:space="preserve">2026-01: Compliance audit highlights training roster mismatch.</w:t>
      </w:r>
    </w:p>
    <w:p>
      <w:pPr>
        <w:numPr>
          <w:ilvl w:val="0"/>
          <w:numId w:val="1022"/>
        </w:numPr>
        <w:pStyle w:val="Compact"/>
      </w:pPr>
      <w:r>
        <w:t xml:space="preserve">2026-02: Exec requests unified KPI definitions.</w:t>
      </w:r>
    </w:p>
    <w:bookmarkEnd w:id="37"/>
    <w:bookmarkStart w:id="38" w:name="benchmark-goals-ikam"/>
    <w:p>
      <w:pPr>
        <w:pStyle w:val="Heading2"/>
      </w:pPr>
      <w:r>
        <w:t xml:space="preserve">Benchmark goals (IKAM)</w:t>
      </w:r>
    </w:p>
    <w:p>
      <w:pPr>
        <w:numPr>
          <w:ilvl w:val="0"/>
          <w:numId w:val="1023"/>
        </w:numPr>
        <w:pStyle w:val="Compact"/>
      </w:pPr>
      <w:r>
        <w:t xml:space="preserve">Queries:</w:t>
      </w:r>
    </w:p>
    <w:p>
      <w:pPr>
        <w:numPr>
          <w:ilvl w:val="1"/>
          <w:numId w:val="1024"/>
        </w:numPr>
        <w:pStyle w:val="Compact"/>
      </w:pPr>
      <w:r>
        <w:t xml:space="preserve">“</w:t>
      </w:r>
      <w:r>
        <w:t xml:space="preserve">What is the no-show rate and why do reports differ?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t xml:space="preserve">“</w:t>
      </w:r>
      <w:r>
        <w:t xml:space="preserve">Is HIPAA training compliant and what’s the true completion %?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t xml:space="preserve">“</w:t>
      </w:r>
      <w:r>
        <w:t xml:space="preserve">Which triage SOP version is current?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t xml:space="preserve">“</w:t>
      </w:r>
      <w:r>
        <w:t xml:space="preserve">What’s the patient wait time definition on the exec scorecard?</w:t>
      </w:r>
      <w:r>
        <w:t xml:space="preserve">”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2026-10-20T05:52:57Z</dcterms:created>
  <dcterms:modified xsi:type="dcterms:W3CDTF">2026-10-20T05:52:57Z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