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ikam-benchmark-case-spec-idea.md"/>
    <w:p>
      <w:pPr>
        <w:pStyle w:val="Heading1"/>
      </w:pPr>
      <w:r>
        <w:t xml:space="preserve">IKAM Benchmark Case Spec (idea.md)</w:t>
      </w:r>
    </w:p>
    <w:bookmarkStart w:id="20" w:name="identity"/>
    <w:p>
      <w:pPr>
        <w:pStyle w:val="Heading2"/>
      </w:pPr>
      <w:r>
        <w:t xml:space="preserve">Identity</w:t>
      </w:r>
    </w:p>
    <w:p>
      <w:pPr>
        <w:numPr>
          <w:ilvl w:val="0"/>
          <w:numId w:val="1001"/>
        </w:numPr>
        <w:pStyle w:val="Compact"/>
      </w:pPr>
      <w:r>
        <w:t xml:space="preserve">Case ID: m-healthcare-clinic-v01</w:t>
      </w:r>
    </w:p>
    <w:p>
      <w:pPr>
        <w:numPr>
          <w:ilvl w:val="0"/>
          <w:numId w:val="1001"/>
        </w:numPr>
        <w:pStyle w:val="Compact"/>
      </w:pPr>
      <w:r>
        <w:t xml:space="preserve">Business name: Mesa Ridge Urgent &amp; Primary Care</w:t>
      </w:r>
    </w:p>
    <w:p>
      <w:pPr>
        <w:numPr>
          <w:ilvl w:val="0"/>
          <w:numId w:val="1001"/>
        </w:numPr>
        <w:pStyle w:val="Compact"/>
      </w:pPr>
      <w:r>
        <w:t xml:space="preserve">Industry / domain: Healthcare clinic group (urgent care + primary care)</w:t>
      </w:r>
    </w:p>
    <w:p>
      <w:pPr>
        <w:numPr>
          <w:ilvl w:val="0"/>
          <w:numId w:val="1001"/>
        </w:numPr>
        <w:pStyle w:val="Compact"/>
      </w:pPr>
      <w:r>
        <w:t xml:space="preserve">Business model: Insurance billing + self-pay + small employer contracts</w:t>
      </w:r>
    </w:p>
    <w:p>
      <w:pPr>
        <w:numPr>
          <w:ilvl w:val="0"/>
          <w:numId w:val="1001"/>
        </w:numPr>
        <w:pStyle w:val="Compact"/>
      </w:pPr>
      <w:r>
        <w:t xml:space="preserve">Locations / operating region: Denver, CO (3 clinics)</w:t>
      </w:r>
    </w:p>
    <w:p>
      <w:pPr>
        <w:numPr>
          <w:ilvl w:val="0"/>
          <w:numId w:val="1001"/>
        </w:numPr>
        <w:pStyle w:val="Compact"/>
      </w:pPr>
      <w:r>
        <w:t xml:space="preserve">Size tier: m</w:t>
      </w:r>
    </w:p>
    <w:p>
      <w:pPr>
        <w:numPr>
          <w:ilvl w:val="0"/>
          <w:numId w:val="1001"/>
        </w:numPr>
        <w:pStyle w:val="Compact"/>
      </w:pPr>
      <w:r>
        <w:t xml:space="preserve">Org maturity: emerging; some policy docs, lots of local variation</w:t>
      </w:r>
    </w:p>
    <w:bookmarkEnd w:id="20"/>
    <w:bookmarkStart w:id="21" w:name="high-level-description"/>
    <w:p>
      <w:pPr>
        <w:pStyle w:val="Heading2"/>
      </w:pPr>
      <w:r>
        <w:t xml:space="preserve">High-level description</w:t>
      </w:r>
    </w:p>
    <w:p>
      <w:pPr>
        <w:numPr>
          <w:ilvl w:val="0"/>
          <w:numId w:val="1002"/>
        </w:numPr>
        <w:pStyle w:val="Compact"/>
      </w:pPr>
      <w:r>
        <w:t xml:space="preserve">One-liner: Three clinics with shared billing and uneven operational consistency.</w:t>
      </w:r>
    </w:p>
    <w:bookmarkEnd w:id="21"/>
    <w:bookmarkStart w:id="22" w:name="operating-model"/>
    <w:p>
      <w:pPr>
        <w:pStyle w:val="Heading2"/>
      </w:pPr>
      <w:r>
        <w:t xml:space="preserve">Operating model</w:t>
      </w:r>
    </w:p>
    <w:p>
      <w:pPr>
        <w:numPr>
          <w:ilvl w:val="0"/>
          <w:numId w:val="1003"/>
        </w:numPr>
        <w:pStyle w:val="Compact"/>
      </w:pPr>
      <w:r>
        <w:t xml:space="preserve">Functions:</w:t>
      </w:r>
    </w:p>
    <w:p>
      <w:pPr>
        <w:numPr>
          <w:ilvl w:val="1"/>
          <w:numId w:val="1004"/>
        </w:numPr>
        <w:pStyle w:val="Compact"/>
      </w:pPr>
      <w:r>
        <w:t xml:space="preserve">Clinic ops</w:t>
      </w:r>
    </w:p>
    <w:p>
      <w:pPr>
        <w:numPr>
          <w:ilvl w:val="1"/>
          <w:numId w:val="1004"/>
        </w:numPr>
        <w:pStyle w:val="Compact"/>
      </w:pPr>
      <w:r>
        <w:t xml:space="preserve">Billing</w:t>
      </w:r>
    </w:p>
    <w:p>
      <w:pPr>
        <w:numPr>
          <w:ilvl w:val="1"/>
          <w:numId w:val="1004"/>
        </w:numPr>
        <w:pStyle w:val="Compact"/>
      </w:pPr>
      <w:r>
        <w:t xml:space="preserve">Compliance/privacy (light)</w:t>
      </w:r>
    </w:p>
    <w:p>
      <w:pPr>
        <w:numPr>
          <w:ilvl w:val="1"/>
          <w:numId w:val="1004"/>
        </w:numPr>
        <w:pStyle w:val="Compact"/>
      </w:pPr>
      <w:r>
        <w:t xml:space="preserve">HR</w:t>
      </w:r>
    </w:p>
    <w:p>
      <w:pPr>
        <w:numPr>
          <w:ilvl w:val="1"/>
          <w:numId w:val="1004"/>
        </w:numPr>
        <w:pStyle w:val="Compact"/>
      </w:pPr>
      <w:r>
        <w:t xml:space="preserve">Finance</w:t>
      </w:r>
    </w:p>
    <w:p>
      <w:pPr>
        <w:numPr>
          <w:ilvl w:val="0"/>
          <w:numId w:val="1003"/>
        </w:numPr>
        <w:pStyle w:val="Compact"/>
      </w:pPr>
      <w:r>
        <w:t xml:space="preserve">Key roles:</w:t>
      </w:r>
    </w:p>
    <w:p>
      <w:pPr>
        <w:numPr>
          <w:ilvl w:val="1"/>
          <w:numId w:val="1005"/>
        </w:numPr>
        <w:pStyle w:val="Compact"/>
      </w:pPr>
      <w:r>
        <w:t xml:space="preserve">Dr. Sofia Kim — Medical Director</w:t>
      </w:r>
    </w:p>
    <w:p>
      <w:pPr>
        <w:numPr>
          <w:ilvl w:val="1"/>
          <w:numId w:val="1005"/>
        </w:numPr>
        <w:pStyle w:val="Compact"/>
      </w:pPr>
      <w:r>
        <w:t xml:space="preserve">Ryan Patel — Ops Manager</w:t>
      </w:r>
    </w:p>
    <w:p>
      <w:pPr>
        <w:numPr>
          <w:ilvl w:val="1"/>
          <w:numId w:val="1005"/>
        </w:numPr>
        <w:pStyle w:val="Compact"/>
      </w:pPr>
      <w:r>
        <w:t xml:space="preserve">Elise Grant — Billing Lead</w:t>
      </w:r>
    </w:p>
    <w:p>
      <w:pPr>
        <w:numPr>
          <w:ilvl w:val="1"/>
          <w:numId w:val="1005"/>
        </w:numPr>
        <w:pStyle w:val="Compact"/>
      </w:pPr>
      <w:r>
        <w:t xml:space="preserve">Tasha Nguyen — HR/Office Manager</w:t>
      </w:r>
    </w:p>
    <w:bookmarkEnd w:id="22"/>
    <w:bookmarkStart w:id="23" w:name="chaos-profile-new-pick-tracked"/>
    <w:p>
      <w:pPr>
        <w:pStyle w:val="Heading2"/>
      </w:pPr>
      <w:r>
        <w:t xml:space="preserve">Chaos profile (new pick; tracked)</w:t>
      </w:r>
    </w:p>
    <w:p>
      <w:pPr>
        <w:numPr>
          <w:ilvl w:val="0"/>
          <w:numId w:val="1006"/>
        </w:numPr>
        <w:pStyle w:val="Compact"/>
      </w:pPr>
      <w:r>
        <w:t xml:space="preserve">Overall chaos level (1–5):</w:t>
      </w:r>
      <w:r>
        <w:t xml:space="preserve"> </w:t>
      </w:r>
      <w:r>
        <w:rPr>
          <w:bCs/>
          <w:b/>
        </w:rPr>
        <w:t xml:space="preserve">2</w:t>
      </w:r>
    </w:p>
    <w:p>
      <w:pPr>
        <w:numPr>
          <w:ilvl w:val="0"/>
          <w:numId w:val="1006"/>
        </w:numPr>
        <w:pStyle w:val="Compact"/>
      </w:pPr>
      <w:r>
        <w:t xml:space="preserve">Rationale: fewer sites than XL network; drift exists but bounded.</w:t>
      </w:r>
    </w:p>
    <w:p>
      <w:pPr>
        <w:numPr>
          <w:ilvl w:val="0"/>
          <w:numId w:val="1006"/>
        </w:numPr>
        <w:pStyle w:val="Compact"/>
      </w:pPr>
      <w:r>
        <w:t xml:space="preserve">Where chaos lives:</w:t>
      </w:r>
    </w:p>
    <w:p>
      <w:pPr>
        <w:numPr>
          <w:ilvl w:val="1"/>
          <w:numId w:val="1007"/>
        </w:numPr>
        <w:pStyle w:val="Compact"/>
      </w:pPr>
      <w:r>
        <w:t xml:space="preserve">☒ no-show definition drift</w:t>
      </w:r>
    </w:p>
    <w:p>
      <w:pPr>
        <w:numPr>
          <w:ilvl w:val="1"/>
          <w:numId w:val="1007"/>
        </w:numPr>
        <w:pStyle w:val="Compact"/>
      </w:pPr>
      <w:r>
        <w:t xml:space="preserve">☒ training tracking inconsistencies</w:t>
      </w:r>
    </w:p>
    <w:p>
      <w:pPr>
        <w:numPr>
          <w:ilvl w:val="1"/>
          <w:numId w:val="1007"/>
        </w:numPr>
        <w:pStyle w:val="Compact"/>
      </w:pPr>
      <w:r>
        <w:t xml:space="preserve">☐ massive version sprawl (limited)</w:t>
      </w:r>
    </w:p>
    <w:p>
      <w:pPr>
        <w:numPr>
          <w:ilvl w:val="1"/>
          <w:numId w:val="1007"/>
        </w:numPr>
        <w:pStyle w:val="Compact"/>
      </w:pPr>
      <w:r>
        <w:t xml:space="preserve">☒ shadow spreadsheets (staffing)</w:t>
      </w:r>
    </w:p>
    <w:bookmarkEnd w:id="23"/>
    <w:bookmarkStart w:id="24" w:name="intentional-contradictions"/>
    <w:p>
      <w:pPr>
        <w:pStyle w:val="Heading2"/>
      </w:pPr>
      <w:r>
        <w:t xml:space="preserve">Intentional contradictions</w:t>
      </w:r>
    </w:p>
    <w:p>
      <w:pPr>
        <w:numPr>
          <w:ilvl w:val="0"/>
          <w:numId w:val="1008"/>
        </w:numPr>
        <w:pStyle w:val="Compact"/>
      </w:pPr>
      <w:r>
        <w:t xml:space="preserve">Light/moderate:</w:t>
      </w:r>
    </w:p>
    <w:p>
      <w:pPr>
        <w:numPr>
          <w:ilvl w:val="1"/>
          <w:numId w:val="1009"/>
        </w:numPr>
        <w:pStyle w:val="Compact"/>
      </w:pPr>
      <w:r>
        <w:t xml:space="preserve">No-show: ops excludes late cancels; site managers include.</w:t>
      </w:r>
    </w:p>
    <w:p>
      <w:pPr>
        <w:numPr>
          <w:ilvl w:val="1"/>
          <w:numId w:val="1009"/>
        </w:numPr>
        <w:pStyle w:val="Compact"/>
      </w:pPr>
      <w:r>
        <w:t xml:space="preserve">Collections: billing tracker differs from finance summary by a few points.</w:t>
      </w:r>
    </w:p>
    <w:bookmarkEnd w:id="24"/>
    <w:bookmarkStart w:id="35" w:name="artifact-set"/>
    <w:p>
      <w:pPr>
        <w:pStyle w:val="Heading2"/>
      </w:pPr>
      <w:r>
        <w:t xml:space="preserve">Artifact set</w:t>
      </w:r>
    </w:p>
    <w:bookmarkStart w:id="25" w:name="strategy-identity"/>
    <w:p>
      <w:pPr>
        <w:pStyle w:val="Heading3"/>
      </w:pPr>
      <w:r>
        <w:t xml:space="preserve">Strategy + identity</w:t>
      </w:r>
    </w:p>
    <w:p>
      <w:pPr>
        <w:numPr>
          <w:ilvl w:val="0"/>
          <w:numId w:val="1010"/>
        </w:numPr>
        <w:pStyle w:val="Compact"/>
      </w:pPr>
      <w:r>
        <w:t xml:space="preserve">mission-vision-values.md</w:t>
      </w:r>
    </w:p>
    <w:p>
      <w:pPr>
        <w:numPr>
          <w:ilvl w:val="0"/>
          <w:numId w:val="1010"/>
        </w:numPr>
        <w:pStyle w:val="Compact"/>
      </w:pPr>
      <w:r>
        <w:t xml:space="preserve">brand-guide.md</w:t>
      </w:r>
    </w:p>
    <w:p>
      <w:pPr>
        <w:numPr>
          <w:ilvl w:val="0"/>
          <w:numId w:val="1010"/>
        </w:numPr>
        <w:pStyle w:val="Compact"/>
      </w:pPr>
      <w:r>
        <w:t xml:space="preserve">high-level-strategy-2026.md</w:t>
      </w:r>
    </w:p>
    <w:bookmarkEnd w:id="25"/>
    <w:bookmarkStart w:id="26" w:name="ops"/>
    <w:p>
      <w:pPr>
        <w:pStyle w:val="Heading3"/>
      </w:pPr>
      <w:r>
        <w:t xml:space="preserve">Ops</w:t>
      </w:r>
    </w:p>
    <w:p>
      <w:pPr>
        <w:numPr>
          <w:ilvl w:val="0"/>
          <w:numId w:val="1011"/>
        </w:numPr>
        <w:pStyle w:val="Compact"/>
      </w:pPr>
      <w:r>
        <w:t xml:space="preserve">clinic-ops-handbook-v1.md</w:t>
      </w:r>
    </w:p>
    <w:p>
      <w:pPr>
        <w:numPr>
          <w:ilvl w:val="0"/>
          <w:numId w:val="1011"/>
        </w:numPr>
        <w:pStyle w:val="Compact"/>
      </w:pPr>
      <w:r>
        <w:t xml:space="preserve">staffing-model.xlsx</w:t>
      </w:r>
    </w:p>
    <w:p>
      <w:pPr>
        <w:numPr>
          <w:ilvl w:val="0"/>
          <w:numId w:val="1011"/>
        </w:numPr>
        <w:pStyle w:val="Compact"/>
      </w:pPr>
      <w:r>
        <w:t xml:space="preserve">site-scorecard-2026-01.xlsx</w:t>
      </w:r>
    </w:p>
    <w:p>
      <w:pPr>
        <w:numPr>
          <w:ilvl w:val="0"/>
          <w:numId w:val="1011"/>
        </w:numPr>
        <w:pStyle w:val="Compact"/>
      </w:pPr>
      <w:r>
        <w:t xml:space="preserve">incident-log-2026-q1.xlsx</w:t>
      </w:r>
    </w:p>
    <w:bookmarkEnd w:id="26"/>
    <w:bookmarkStart w:id="27" w:name="billing"/>
    <w:p>
      <w:pPr>
        <w:pStyle w:val="Heading3"/>
      </w:pPr>
      <w:r>
        <w:t xml:space="preserve">Billing</w:t>
      </w:r>
    </w:p>
    <w:p>
      <w:pPr>
        <w:numPr>
          <w:ilvl w:val="0"/>
          <w:numId w:val="1012"/>
        </w:numPr>
        <w:pStyle w:val="Compact"/>
      </w:pPr>
      <w:r>
        <w:t xml:space="preserve">billing-process-map.md</w:t>
      </w:r>
    </w:p>
    <w:p>
      <w:pPr>
        <w:numPr>
          <w:ilvl w:val="0"/>
          <w:numId w:val="1012"/>
        </w:numPr>
        <w:pStyle w:val="Compact"/>
      </w:pPr>
      <w:r>
        <w:t xml:space="preserve">denials-tracker-2026-01.xlsx</w:t>
      </w:r>
    </w:p>
    <w:p>
      <w:pPr>
        <w:numPr>
          <w:ilvl w:val="0"/>
          <w:numId w:val="1012"/>
        </w:numPr>
        <w:pStyle w:val="Compact"/>
      </w:pPr>
      <w:r>
        <w:t xml:space="preserve">collections-summary-2026-01.xlsx</w:t>
      </w:r>
    </w:p>
    <w:p>
      <w:pPr>
        <w:numPr>
          <w:ilvl w:val="0"/>
          <w:numId w:val="1012"/>
        </w:numPr>
        <w:pStyle w:val="Compact"/>
      </w:pPr>
      <w:r>
        <w:t xml:space="preserve">kpi-definitions.json</w:t>
      </w:r>
    </w:p>
    <w:bookmarkEnd w:id="27"/>
    <w:bookmarkStart w:id="28" w:name="compliancehr"/>
    <w:p>
      <w:pPr>
        <w:pStyle w:val="Heading3"/>
      </w:pPr>
      <w:r>
        <w:t xml:space="preserve">Compliance/HR</w:t>
      </w:r>
    </w:p>
    <w:p>
      <w:pPr>
        <w:numPr>
          <w:ilvl w:val="0"/>
          <w:numId w:val="1013"/>
        </w:numPr>
        <w:pStyle w:val="Compact"/>
      </w:pPr>
      <w:r>
        <w:t xml:space="preserve">privacy-policy.md</w:t>
      </w:r>
    </w:p>
    <w:p>
      <w:pPr>
        <w:numPr>
          <w:ilvl w:val="0"/>
          <w:numId w:val="1013"/>
        </w:numPr>
        <w:pStyle w:val="Compact"/>
      </w:pPr>
      <w:r>
        <w:t xml:space="preserve">hipaa-training-tracker-2026.xlsx</w:t>
      </w:r>
    </w:p>
    <w:p>
      <w:pPr>
        <w:numPr>
          <w:ilvl w:val="0"/>
          <w:numId w:val="1013"/>
        </w:numPr>
        <w:pStyle w:val="Compact"/>
      </w:pPr>
      <w:r>
        <w:t xml:space="preserve">hiring-plan-2026.xlsx</w:t>
      </w:r>
    </w:p>
    <w:p>
      <w:pPr>
        <w:numPr>
          <w:ilvl w:val="0"/>
          <w:numId w:val="1013"/>
        </w:numPr>
        <w:pStyle w:val="Compact"/>
      </w:pPr>
      <w:r>
        <w:t xml:space="preserve">employee-handbook-excerpt.pdf</w:t>
      </w:r>
    </w:p>
    <w:p>
      <w:pPr>
        <w:numPr>
          <w:ilvl w:val="0"/>
          <w:numId w:val="1013"/>
        </w:numPr>
        <w:pStyle w:val="Compact"/>
      </w:pPr>
      <w:r>
        <w:t xml:space="preserve">performance-review-template.md</w:t>
      </w:r>
    </w:p>
    <w:bookmarkEnd w:id="28"/>
    <w:bookmarkStart w:id="29" w:name="marketing"/>
    <w:p>
      <w:pPr>
        <w:pStyle w:val="Heading3"/>
      </w:pPr>
      <w:r>
        <w:t xml:space="preserve">Marketing</w:t>
      </w:r>
    </w:p>
    <w:p>
      <w:pPr>
        <w:numPr>
          <w:ilvl w:val="0"/>
          <w:numId w:val="1014"/>
        </w:numPr>
        <w:pStyle w:val="Compact"/>
      </w:pPr>
      <w:r>
        <w:t xml:space="preserve">marketing-pitch-deck.pptx</w:t>
      </w:r>
    </w:p>
    <w:p>
      <w:pPr>
        <w:numPr>
          <w:ilvl w:val="0"/>
          <w:numId w:val="1014"/>
        </w:numPr>
        <w:pStyle w:val="Compact"/>
      </w:pPr>
      <w:r>
        <w:t xml:space="preserve">service-line-one-pager.pdf</w:t>
      </w:r>
    </w:p>
    <w:p>
      <w:pPr>
        <w:numPr>
          <w:ilvl w:val="0"/>
          <w:numId w:val="1014"/>
        </w:numPr>
        <w:pStyle w:val="Compact"/>
      </w:pPr>
      <w:r>
        <w:t xml:space="preserve">messaging-pillars.md</w:t>
      </w:r>
    </w:p>
    <w:bookmarkEnd w:id="29"/>
    <w:bookmarkStart w:id="30" w:name="meetings-notes"/>
    <w:p>
      <w:pPr>
        <w:pStyle w:val="Heading3"/>
      </w:pPr>
      <w:r>
        <w:t xml:space="preserve">Meetings + notes</w:t>
      </w:r>
    </w:p>
    <w:p>
      <w:pPr>
        <w:numPr>
          <w:ilvl w:val="0"/>
          <w:numId w:val="1015"/>
        </w:numPr>
        <w:pStyle w:val="Compact"/>
      </w:pPr>
      <w:r>
        <w:t xml:space="preserve">ops-call-2026-01-15.md</w:t>
      </w:r>
    </w:p>
    <w:p>
      <w:pPr>
        <w:numPr>
          <w:ilvl w:val="0"/>
          <w:numId w:val="1015"/>
        </w:numPr>
        <w:pStyle w:val="Compact"/>
      </w:pPr>
      <w:r>
        <w:t xml:space="preserve">ops-call-2026-02-12.md</w:t>
      </w:r>
    </w:p>
    <w:p>
      <w:pPr>
        <w:numPr>
          <w:ilvl w:val="0"/>
          <w:numId w:val="1015"/>
        </w:numPr>
        <w:pStyle w:val="Compact"/>
      </w:pPr>
      <w:r>
        <w:t xml:space="preserve">voice-note-transcript-2026-02-16.md</w:t>
      </w:r>
    </w:p>
    <w:bookmarkEnd w:id="30"/>
    <w:bookmarkStart w:id="31" w:name="evaluation-templates"/>
    <w:p>
      <w:pPr>
        <w:pStyle w:val="Heading3"/>
      </w:pPr>
      <w:r>
        <w:t xml:space="preserve">Evaluation templates</w:t>
      </w:r>
    </w:p>
    <w:p>
      <w:pPr>
        <w:numPr>
          <w:ilvl w:val="0"/>
          <w:numId w:val="1016"/>
        </w:numPr>
        <w:pStyle w:val="Compact"/>
      </w:pPr>
      <w:r>
        <w:t xml:space="preserve">patient-complaint-template.md</w:t>
      </w:r>
    </w:p>
    <w:p>
      <w:pPr>
        <w:numPr>
          <w:ilvl w:val="0"/>
          <w:numId w:val="1016"/>
        </w:numPr>
        <w:pStyle w:val="Compact"/>
      </w:pPr>
      <w:r>
        <w:t xml:space="preserve">incident-report-template.md</w:t>
      </w:r>
    </w:p>
    <w:p>
      <w:pPr>
        <w:numPr>
          <w:ilvl w:val="0"/>
          <w:numId w:val="1016"/>
        </w:numPr>
        <w:pStyle w:val="Compact"/>
      </w:pPr>
      <w:r>
        <w:t xml:space="preserve">patient-intake-form.json</w:t>
      </w:r>
    </w:p>
    <w:bookmarkEnd w:id="31"/>
    <w:bookmarkStart w:id="32" w:name="word-documents-.docx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7"/>
        </w:numPr>
        <w:pStyle w:val="Compact"/>
      </w:pPr>
      <w:r>
        <w:t xml:space="preserve">ops-report-2026-01.docx</w:t>
      </w:r>
    </w:p>
    <w:bookmarkEnd w:id="32"/>
    <w:bookmarkStart w:id="33" w:name="images-mixed-generated"/>
    <w:p>
      <w:pPr>
        <w:pStyle w:val="Heading3"/>
      </w:pPr>
      <w:r>
        <w:t xml:space="preserve">Images (mixed; generated)</w:t>
      </w:r>
    </w:p>
    <w:p>
      <w:pPr>
        <w:pStyle w:val="FirstParagraph"/>
      </w:pPr>
      <w:r>
        <w:t xml:space="preserve">Documentation:</w:t>
      </w:r>
      <w:r>
        <w:t xml:space="preserve"> </w:t>
      </w:r>
      <w:r>
        <w:t xml:space="preserve">- assets/images/README.md</w:t>
      </w:r>
    </w:p>
    <w:p>
      <w:pPr>
        <w:pStyle w:val="BodyText"/>
      </w:pPr>
      <w:r>
        <w:t xml:space="preserve">Folders:</w:t>
      </w:r>
      <w:r>
        <w:t xml:space="preserve"> </w:t>
      </w:r>
      <w:r>
        <w:t xml:space="preserve">- assets/images/logos/</w:t>
      </w:r>
      <w:r>
        <w:t xml:space="preserve"> </w:t>
      </w:r>
      <w:r>
        <w:t xml:space="preserve">- assets/images/people/</w:t>
      </w:r>
      <w:r>
        <w:t xml:space="preserve"> </w:t>
      </w:r>
      <w:r>
        <w:t xml:space="preserve">- assets/images/clinics/</w:t>
      </w:r>
      <w:r>
        <w:t xml:space="preserve"> </w:t>
      </w:r>
      <w:r>
        <w:t xml:space="preserve">- assets/images/diagrams/</w:t>
      </w:r>
      <w:r>
        <w:t xml:space="preserve"> </w:t>
      </w:r>
      <w:r>
        <w:t xml:space="preserve">- assets/images/social/</w:t>
      </w:r>
    </w:p>
    <w:p>
      <w:pPr>
        <w:pStyle w:val="BodyText"/>
      </w:pPr>
      <w:r>
        <w:t xml:space="preserve">Metadata:</w:t>
      </w:r>
      <w:r>
        <w:t xml:space="preserve"> </w:t>
      </w:r>
      <w:r>
        <w:t xml:space="preserve">- assets/images/prompts.jsonl</w:t>
      </w:r>
    </w:p>
    <w:p>
      <w:pPr>
        <w:pStyle w:val="BodyText"/>
      </w:pPr>
      <w:r>
        <w:t xml:space="preserve">Targets (exact):</w:t>
      </w:r>
      <w:r>
        <w:t xml:space="preserve"> </w:t>
      </w:r>
      <w:r>
        <w:t xml:space="preserve">- logos: 6</w:t>
      </w:r>
      <w:r>
        <w:t xml:space="preserve"> </w:t>
      </w:r>
      <w:r>
        <w:t xml:space="preserve">- people: 18</w:t>
      </w:r>
      <w:r>
        <w:t xml:space="preserve"> </w:t>
      </w:r>
      <w:r>
        <w:t xml:space="preserve">- clinics: 8</w:t>
      </w:r>
      <w:r>
        <w:t xml:space="preserve"> </w:t>
      </w:r>
      <w:r>
        <w:t xml:space="preserve">- diagrams: 10</w:t>
      </w:r>
      <w:r>
        <w:t xml:space="preserve"> </w:t>
      </w:r>
      <w:r>
        <w:t xml:space="preserve">- social: 6</w:t>
      </w:r>
    </w:p>
    <w:bookmarkEnd w:id="33"/>
    <w:bookmarkStart w:id="34" w:name="word-documents-.docx-1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8"/>
        </w:numPr>
        <w:pStyle w:val="Compact"/>
      </w:pPr>
      <w:r>
        <w:t xml:space="preserve">ops-report-2026-01.docx</w:t>
      </w:r>
    </w:p>
    <w:bookmarkEnd w:id="34"/>
    <w:bookmarkEnd w:id="35"/>
    <w:bookmarkStart w:id="36" w:name="timeline-of-significant-events"/>
    <w:p>
      <w:pPr>
        <w:pStyle w:val="Heading2"/>
      </w:pPr>
      <w:r>
        <w:t xml:space="preserve">Timeline of significant events</w:t>
      </w:r>
    </w:p>
    <w:p>
      <w:pPr>
        <w:numPr>
          <w:ilvl w:val="0"/>
          <w:numId w:val="1019"/>
        </w:numPr>
        <w:pStyle w:val="Compact"/>
      </w:pPr>
      <w:r>
        <w:t xml:space="preserve">2024-05: Third clinic opened.</w:t>
      </w:r>
    </w:p>
    <w:p>
      <w:pPr>
        <w:numPr>
          <w:ilvl w:val="0"/>
          <w:numId w:val="1019"/>
        </w:numPr>
        <w:pStyle w:val="Compact"/>
      </w:pPr>
      <w:r>
        <w:t xml:space="preserve">2025-09: Billing workflow change; denials briefly spike.</w:t>
      </w:r>
    </w:p>
    <w:p>
      <w:pPr>
        <w:numPr>
          <w:ilvl w:val="0"/>
          <w:numId w:val="1019"/>
        </w:numPr>
        <w:pStyle w:val="Compact"/>
      </w:pPr>
      <w:r>
        <w:t xml:space="preserve">2026-01: Ops updates no-show process; sites interpret differently.</w:t>
      </w:r>
    </w:p>
    <w:bookmarkEnd w:id="36"/>
    <w:bookmarkStart w:id="37" w:name="benchmark-goals-ikam"/>
    <w:p>
      <w:pPr>
        <w:pStyle w:val="Heading2"/>
      </w:pPr>
      <w:r>
        <w:t xml:space="preserve">Benchmark goals (IKAM)</w:t>
      </w:r>
    </w:p>
    <w:p>
      <w:pPr>
        <w:numPr>
          <w:ilvl w:val="0"/>
          <w:numId w:val="1020"/>
        </w:numPr>
        <w:pStyle w:val="Compact"/>
      </w:pPr>
      <w:r>
        <w:t xml:space="preserve">Queries: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What is the no-show rate and why does it differ?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What are the top denial reasons and owners?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What is privacy training completion and who is missing?</w:t>
      </w:r>
      <w:r>
        <w:t xml:space="preserve">”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2026-10-20T05:52:58Z</dcterms:created>
  <dcterms:modified xsi:type="dcterms:W3CDTF">2026-10-20T05:52:58Z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