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xl-consulting-v01</w:t>
      </w:r>
    </w:p>
    <w:p>
      <w:pPr>
        <w:numPr>
          <w:ilvl w:val="0"/>
          <w:numId w:val="1001"/>
        </w:numPr>
        <w:pStyle w:val="Compact"/>
      </w:pPr>
      <w:r>
        <w:t xml:space="preserve">Business name: Alderpoint Strategy &amp; Operations (ASO)</w:t>
      </w:r>
    </w:p>
    <w:p>
      <w:pPr>
        <w:numPr>
          <w:ilvl w:val="0"/>
          <w:numId w:val="1001"/>
        </w:numPr>
        <w:pStyle w:val="Compact"/>
      </w:pPr>
      <w:r>
        <w:t xml:space="preserve">Industry / domain: Consulting (enterprise strategy + ops transformation)</w:t>
      </w:r>
    </w:p>
    <w:p>
      <w:pPr>
        <w:numPr>
          <w:ilvl w:val="0"/>
          <w:numId w:val="1001"/>
        </w:numPr>
        <w:pStyle w:val="Compact"/>
      </w:pPr>
      <w:r>
        <w:t xml:space="preserve">Business model: project-based advisory + PMO + analytics enablement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North America (multi-office)</w:t>
      </w:r>
    </w:p>
    <w:p>
      <w:pPr>
        <w:numPr>
          <w:ilvl w:val="0"/>
          <w:numId w:val="1001"/>
        </w:numPr>
        <w:pStyle w:val="Compact"/>
      </w:pPr>
      <w:r>
        <w:t xml:space="preserve">Size tier: xl</w:t>
      </w:r>
    </w:p>
    <w:p>
      <w:pPr>
        <w:numPr>
          <w:ilvl w:val="0"/>
          <w:numId w:val="1001"/>
        </w:numPr>
        <w:pStyle w:val="Compact"/>
      </w:pPr>
      <w:r>
        <w:t xml:space="preserve">Org maturity: huge template surface area + multiple practice groups + version sprawl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large consulting firm running multiple workstreams for a client program, with conflicting numbers across decks, trackers, and finance.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Delivery (workstreams)</w:t>
      </w:r>
    </w:p>
    <w:p>
      <w:pPr>
        <w:numPr>
          <w:ilvl w:val="1"/>
          <w:numId w:val="1004"/>
        </w:numPr>
        <w:pStyle w:val="Compact"/>
      </w:pPr>
      <w:r>
        <w:t xml:space="preserve">Sales/BD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1"/>
          <w:numId w:val="1004"/>
        </w:numPr>
        <w:pStyle w:val="Compact"/>
      </w:pPr>
      <w:r>
        <w:t xml:space="preserve">Knowledge management</w:t>
      </w:r>
    </w:p>
    <w:p>
      <w:pPr>
        <w:numPr>
          <w:ilvl w:val="1"/>
          <w:numId w:val="1004"/>
        </w:numPr>
        <w:pStyle w:val="Compact"/>
      </w:pPr>
      <w:r>
        <w:t xml:space="preserve">People ops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Colleen Park — Managing Partner</w:t>
      </w:r>
    </w:p>
    <w:p>
      <w:pPr>
        <w:numPr>
          <w:ilvl w:val="1"/>
          <w:numId w:val="1005"/>
        </w:numPr>
        <w:pStyle w:val="Compact"/>
      </w:pPr>
      <w:r>
        <w:t xml:space="preserve">Devin Holt — Program Director</w:t>
      </w:r>
    </w:p>
    <w:p>
      <w:pPr>
        <w:numPr>
          <w:ilvl w:val="1"/>
          <w:numId w:val="1005"/>
        </w:numPr>
        <w:pStyle w:val="Compact"/>
      </w:pPr>
      <w:r>
        <w:t xml:space="preserve">Mira Shah — Workstream Lead (Ops)</w:t>
      </w:r>
    </w:p>
    <w:p>
      <w:pPr>
        <w:numPr>
          <w:ilvl w:val="1"/>
          <w:numId w:val="1005"/>
        </w:numPr>
        <w:pStyle w:val="Compact"/>
      </w:pPr>
      <w:r>
        <w:t xml:space="preserve">Andre Kim — Workstream Lead (Finance)</w:t>
      </w:r>
    </w:p>
    <w:p>
      <w:pPr>
        <w:numPr>
          <w:ilvl w:val="1"/>
          <w:numId w:val="1005"/>
        </w:numPr>
        <w:pStyle w:val="Compact"/>
      </w:pPr>
      <w:r>
        <w:t xml:space="preserve">Talia Reed — PMO Lead</w:t>
      </w:r>
    </w:p>
    <w:p>
      <w:pPr>
        <w:numPr>
          <w:ilvl w:val="1"/>
          <w:numId w:val="1005"/>
        </w:numPr>
        <w:pStyle w:val="Compact"/>
      </w:pPr>
      <w:r>
        <w:t xml:space="preserve">Jordan Vega — Finance Ops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5</w:t>
      </w:r>
    </w:p>
    <w:p>
      <w:pPr>
        <w:numPr>
          <w:ilvl w:val="0"/>
          <w:numId w:val="1006"/>
        </w:numPr>
        <w:pStyle w:val="Compact"/>
      </w:pPr>
      <w:r>
        <w:t xml:space="preserve">Rationale: many documents, many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 </w:t>
      </w:r>
      <w:r>
        <w:t xml:space="preserve">versions, and inconsistent KPI / savings math.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savings definitions (gross vs net, annualized vs run-rate)</w:t>
      </w:r>
    </w:p>
    <w:p>
      <w:pPr>
        <w:numPr>
          <w:ilvl w:val="1"/>
          <w:numId w:val="1007"/>
        </w:numPr>
        <w:pStyle w:val="Compact"/>
      </w:pPr>
      <w:r>
        <w:t xml:space="preserve">☒ milestone dates differ across RAID log vs deck vs email</w:t>
      </w:r>
    </w:p>
    <w:p>
      <w:pPr>
        <w:numPr>
          <w:ilvl w:val="1"/>
          <w:numId w:val="1007"/>
        </w:numPr>
        <w:pStyle w:val="Compact"/>
      </w:pPr>
      <w:r>
        <w:t xml:space="preserve">☒ timesheets vs invoices vs revenue recognition</w:t>
      </w:r>
    </w:p>
    <w:p>
      <w:pPr>
        <w:numPr>
          <w:ilvl w:val="1"/>
          <w:numId w:val="1007"/>
        </w:numPr>
        <w:pStyle w:val="Compact"/>
      </w:pPr>
      <w:r>
        <w:t xml:space="preserve">☒ staffing plans drift weekly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Savings:</w:t>
      </w:r>
    </w:p>
    <w:p>
      <w:pPr>
        <w:numPr>
          <w:ilvl w:val="1"/>
          <w:numId w:val="1009"/>
        </w:numPr>
        <w:pStyle w:val="Compact"/>
      </w:pPr>
      <w:r>
        <w:t xml:space="preserve">Exec deck shows $18.4M annualized savings</w:t>
      </w:r>
    </w:p>
    <w:p>
      <w:pPr>
        <w:numPr>
          <w:ilvl w:val="1"/>
          <w:numId w:val="1009"/>
        </w:numPr>
        <w:pStyle w:val="Compact"/>
      </w:pPr>
      <w:r>
        <w:t xml:space="preserve">Finance model shows $14.9M net savings (different baseline + one-time costs)</w:t>
      </w:r>
    </w:p>
    <w:p>
      <w:pPr>
        <w:numPr>
          <w:ilvl w:val="0"/>
          <w:numId w:val="1008"/>
        </w:numPr>
        <w:pStyle w:val="Compact"/>
      </w:pPr>
      <w:r>
        <w:t xml:space="preserve">Milestone date:</w:t>
      </w:r>
    </w:p>
    <w:p>
      <w:pPr>
        <w:numPr>
          <w:ilvl w:val="1"/>
          <w:numId w:val="1010"/>
        </w:numPr>
        <w:pStyle w:val="Compact"/>
      </w:pPr>
      <w:r>
        <w:t xml:space="preserve">RAID log says phase 1 complete 2026-03-15</w:t>
      </w:r>
    </w:p>
    <w:p>
      <w:pPr>
        <w:numPr>
          <w:ilvl w:val="1"/>
          <w:numId w:val="1010"/>
        </w:numPr>
        <w:pStyle w:val="Compact"/>
      </w:pPr>
      <w:r>
        <w:t xml:space="preserve">Email says 2026-03-29 (re-baseline)</w:t>
      </w:r>
    </w:p>
    <w:p>
      <w:pPr>
        <w:numPr>
          <w:ilvl w:val="0"/>
          <w:numId w:val="1008"/>
        </w:numPr>
        <w:pStyle w:val="Compact"/>
      </w:pPr>
      <w:r>
        <w:t xml:space="preserve">Billing:</w:t>
      </w:r>
    </w:p>
    <w:p>
      <w:pPr>
        <w:numPr>
          <w:ilvl w:val="1"/>
          <w:numId w:val="1011"/>
        </w:numPr>
        <w:pStyle w:val="Compact"/>
      </w:pPr>
      <w:r>
        <w:t xml:space="preserve">Timesheet totals 2,120 hours</w:t>
      </w:r>
    </w:p>
    <w:p>
      <w:pPr>
        <w:numPr>
          <w:ilvl w:val="1"/>
          <w:numId w:val="1011"/>
        </w:numPr>
        <w:pStyle w:val="Compact"/>
      </w:pPr>
      <w:r>
        <w:t xml:space="preserve">Invoice bills 1,980 hours (write-offs + cap)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firm-identity"/>
    <w:p>
      <w:pPr>
        <w:pStyle w:val="Heading3"/>
      </w:pPr>
      <w:r>
        <w:t xml:space="preserve">Firm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practice-catalog.pdf</w:t>
      </w:r>
    </w:p>
    <w:p>
      <w:pPr>
        <w:numPr>
          <w:ilvl w:val="0"/>
          <w:numId w:val="1012"/>
        </w:numPr>
        <w:pStyle w:val="Compact"/>
      </w:pPr>
      <w:r>
        <w:t xml:space="preserve">org-structure.json</w:t>
      </w:r>
    </w:p>
    <w:bookmarkEnd w:id="25"/>
    <w:bookmarkStart w:id="26" w:name="client-program-primary"/>
    <w:p>
      <w:pPr>
        <w:pStyle w:val="Heading3"/>
      </w:pPr>
      <w:r>
        <w:t xml:space="preserve">Client program (primary)</w:t>
      </w:r>
    </w:p>
    <w:p>
      <w:pPr>
        <w:pStyle w:val="FirstParagraph"/>
      </w:pPr>
      <w:r>
        <w:t xml:space="preserve">Client: GraniteWorks Utilities</w:t>
      </w:r>
      <w:r>
        <w:t xml:space="preserve"> </w:t>
      </w:r>
      <w:r>
        <w:t xml:space="preserve">Program: Operations Transformation 2026</w:t>
      </w:r>
      <w:r>
        <w:t xml:space="preserve"> </w:t>
      </w:r>
      <w:r>
        <w:t xml:space="preserve">- sow-master.pdf</w:t>
      </w:r>
      <w:r>
        <w:t xml:space="preserve"> </w:t>
      </w:r>
      <w:r>
        <w:t xml:space="preserve">- msa.pdf</w:t>
      </w:r>
      <w:r>
        <w:t xml:space="preserve"> </w:t>
      </w:r>
      <w:r>
        <w:t xml:space="preserve">- statement-of-work-change-log.xlsx</w:t>
      </w:r>
      <w:r>
        <w:t xml:space="preserve"> </w:t>
      </w:r>
      <w:r>
        <w:t xml:space="preserve">- program-charter.md</w:t>
      </w:r>
      <w:r>
        <w:t xml:space="preserve"> </w:t>
      </w:r>
      <w:r>
        <w:t xml:space="preserve">- pmo-raID-log.xlsx</w:t>
      </w:r>
      <w:r>
        <w:t xml:space="preserve"> </w:t>
      </w:r>
      <w:r>
        <w:t xml:space="preserve">- master-program-plan-2026.xlsx</w:t>
      </w:r>
      <w:r>
        <w:t xml:space="preserve"> </w:t>
      </w:r>
      <w:r>
        <w:t xml:space="preserve">- exec-deck-2026-03.pptx</w:t>
      </w:r>
      <w:r>
        <w:t xml:space="preserve"> </w:t>
      </w:r>
      <w:r>
        <w:t xml:space="preserve">- workstream-deck-ops-v7.pptx</w:t>
      </w:r>
      <w:r>
        <w:t xml:space="preserve"> </w:t>
      </w:r>
      <w:r>
        <w:t xml:space="preserve">- workstream-deck-finance-v5.pptx</w:t>
      </w:r>
      <w:r>
        <w:t xml:space="preserve"> </w:t>
      </w:r>
      <w:r>
        <w:t xml:space="preserve">- client-email-thread-2026-03-18.md</w:t>
      </w:r>
    </w:p>
    <w:bookmarkEnd w:id="26"/>
    <w:bookmarkStart w:id="27" w:name="analytics-savings"/>
    <w:p>
      <w:pPr>
        <w:pStyle w:val="Heading3"/>
      </w:pPr>
      <w:r>
        <w:t xml:space="preserve">Analytics + savings</w:t>
      </w:r>
    </w:p>
    <w:p>
      <w:pPr>
        <w:numPr>
          <w:ilvl w:val="0"/>
          <w:numId w:val="1013"/>
        </w:numPr>
        <w:pStyle w:val="Compact"/>
      </w:pPr>
      <w:r>
        <w:t xml:space="preserve">savings-model-2026.xlsx</w:t>
      </w:r>
    </w:p>
    <w:p>
      <w:pPr>
        <w:numPr>
          <w:ilvl w:val="0"/>
          <w:numId w:val="1013"/>
        </w:numPr>
        <w:pStyle w:val="Compact"/>
      </w:pPr>
      <w:r>
        <w:t xml:space="preserve">benefits-tracker-2026-03.xlsx</w:t>
      </w:r>
    </w:p>
    <w:p>
      <w:pPr>
        <w:numPr>
          <w:ilvl w:val="0"/>
          <w:numId w:val="1013"/>
        </w:numPr>
        <w:pStyle w:val="Compact"/>
      </w:pPr>
      <w:r>
        <w:t xml:space="preserve">kpi-definitions.json</w:t>
      </w:r>
    </w:p>
    <w:bookmarkEnd w:id="27"/>
    <w:bookmarkStart w:id="28" w:name="finance-delivery-ops"/>
    <w:p>
      <w:pPr>
        <w:pStyle w:val="Heading3"/>
      </w:pPr>
      <w:r>
        <w:t xml:space="preserve">Finance + delivery ops</w:t>
      </w:r>
    </w:p>
    <w:p>
      <w:pPr>
        <w:numPr>
          <w:ilvl w:val="0"/>
          <w:numId w:val="1014"/>
        </w:numPr>
        <w:pStyle w:val="Compact"/>
      </w:pPr>
      <w:r>
        <w:t xml:space="preserve">timesheet-2026-03.xlsx</w:t>
      </w:r>
    </w:p>
    <w:p>
      <w:pPr>
        <w:numPr>
          <w:ilvl w:val="0"/>
          <w:numId w:val="1014"/>
        </w:numPr>
        <w:pStyle w:val="Compact"/>
      </w:pPr>
      <w:r>
        <w:t xml:space="preserve">invoice-summary-2026-03.pdf</w:t>
      </w:r>
    </w:p>
    <w:p>
      <w:pPr>
        <w:numPr>
          <w:ilvl w:val="0"/>
          <w:numId w:val="1014"/>
        </w:numPr>
        <w:pStyle w:val="Compact"/>
      </w:pPr>
      <w:r>
        <w:t xml:space="preserve">revenue-history-2024-2025.xlsx</w:t>
      </w:r>
    </w:p>
    <w:p>
      <w:pPr>
        <w:numPr>
          <w:ilvl w:val="0"/>
          <w:numId w:val="1014"/>
        </w:numPr>
        <w:pStyle w:val="Compact"/>
      </w:pPr>
      <w:r>
        <w:t xml:space="preserve">pipeline-enterprise.xlsx</w:t>
      </w:r>
    </w:p>
    <w:bookmarkEnd w:id="28"/>
    <w:bookmarkStart w:id="29" w:name="knowledge-management"/>
    <w:p>
      <w:pPr>
        <w:pStyle w:val="Heading3"/>
      </w:pPr>
      <w:r>
        <w:t xml:space="preserve">Knowledge management</w:t>
      </w:r>
    </w:p>
    <w:p>
      <w:pPr>
        <w:numPr>
          <w:ilvl w:val="0"/>
          <w:numId w:val="1015"/>
        </w:numPr>
        <w:pStyle w:val="Compact"/>
      </w:pPr>
      <w:r>
        <w:t xml:space="preserve">deliverable-index.json</w:t>
      </w:r>
    </w:p>
    <w:p>
      <w:pPr>
        <w:numPr>
          <w:ilvl w:val="0"/>
          <w:numId w:val="1015"/>
        </w:numPr>
        <w:pStyle w:val="Compact"/>
      </w:pPr>
      <w:r>
        <w:t xml:space="preserve">slide-template-guidelines.md</w:t>
      </w:r>
    </w:p>
    <w:bookmarkEnd w:id="29"/>
    <w:bookmarkStart w:id="30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6"/>
        </w:numPr>
        <w:pStyle w:val="Compact"/>
      </w:pPr>
      <w:r>
        <w:t xml:space="preserve">meeting-notes-template.md</w:t>
      </w:r>
    </w:p>
    <w:p>
      <w:pPr>
        <w:numPr>
          <w:ilvl w:val="0"/>
          <w:numId w:val="1016"/>
        </w:numPr>
        <w:pStyle w:val="Compact"/>
      </w:pPr>
      <w:r>
        <w:t xml:space="preserve">raid-template.md</w:t>
      </w:r>
    </w:p>
    <w:p>
      <w:pPr>
        <w:numPr>
          <w:ilvl w:val="0"/>
          <w:numId w:val="1016"/>
        </w:numPr>
        <w:pStyle w:val="Compact"/>
      </w:pPr>
      <w:r>
        <w:t xml:space="preserve">issue-escalation-template.md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q4-impact-summary-2025.docx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assets/images/office/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8</w:t>
      </w:r>
      <w:r>
        <w:t xml:space="preserve"> </w:t>
      </w:r>
      <w:r>
        <w:t xml:space="preserve">- people: 24</w:t>
      </w:r>
      <w:r>
        <w:t xml:space="preserve"> </w:t>
      </w:r>
      <w:r>
        <w:t xml:space="preserve">- office: 14</w:t>
      </w:r>
      <w:r>
        <w:t xml:space="preserve"> </w:t>
      </w:r>
      <w:r>
        <w:t xml:space="preserve">- diagrams: 18</w:t>
      </w:r>
      <w:r>
        <w:t xml:space="preserve"> </w:t>
      </w:r>
      <w:r>
        <w:t xml:space="preserve">- social: 10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8"/>
        </w:numPr>
        <w:pStyle w:val="Compact"/>
      </w:pPr>
      <w:r>
        <w:t xml:space="preserve">q4-impact-summary-2025.docx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19"/>
        </w:numPr>
        <w:pStyle w:val="Compact"/>
      </w:pPr>
      <w:r>
        <w:t xml:space="preserve">2025-12: ASO wins GraniteWorks program.</w:t>
      </w:r>
    </w:p>
    <w:p>
      <w:pPr>
        <w:numPr>
          <w:ilvl w:val="0"/>
          <w:numId w:val="1019"/>
        </w:numPr>
        <w:pStyle w:val="Compact"/>
      </w:pPr>
      <w:r>
        <w:t xml:space="preserve">2026-02: Baseline finalized (but later disputed).</w:t>
      </w:r>
    </w:p>
    <w:p>
      <w:pPr>
        <w:numPr>
          <w:ilvl w:val="0"/>
          <w:numId w:val="1019"/>
        </w:numPr>
        <w:pStyle w:val="Compact"/>
      </w:pPr>
      <w:r>
        <w:t xml:space="preserve">2026-03: Phase 1 milestone re-baselined.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0"/>
        </w:numPr>
        <w:pStyle w:val="Compact"/>
      </w:pPr>
      <w:r>
        <w:t xml:space="preserve">Queries: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What’s the true savings number and how is it defined?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What is the current phase 1 milestone date and why does it differ?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Why do billed hours differ from timesheets?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“</w:t>
      </w:r>
      <w:r>
        <w:t xml:space="preserve">Which deck versions are the latest across workstreams?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2026-10-20T05:53:00Z</dcterms:created>
  <dcterms:modified xsi:type="dcterms:W3CDTF">2026-10-20T05:53:00Z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