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document xmlns="http://schemas.openxmlformats.org/wordprocessingml/2006/main" xmlns:mc="http://schemas.openxmlformats.org/markup-compatibility/2006" xmlns:w14="http://schemas.microsoft.com/office/word/2010/wordml" mc:Ignorable="w14 w15 w16se w16cid w16 w16cex w16sdtdh w16sdtfl w16du wp14">
  <body>
    <p w14:paraId="6E04162C" w14:textId="77777777" rsidR="0011439B" rsidRDefault="0011439B">
      <pPr>
        <pStyle val="tag1"/>
        <shd val="clear" color="auto" fill="0F1C32"/>
        <divId val="1801806017"/>
        <rPr>
          <rFonts ascii="맑은 고딕" eastAsia="맑은 고딕" hAnsi="맑은 고딕"/>
        </rPr>
      </pPr>
      <r>
        <rPr>
          <rFonts ascii="맑은 고딕" eastAsia="맑은 고딕" hAnsi="맑은 고딕" hint="eastAsia"/>
        </rPr>
        <t>Company Profile  </t>
      </r>
      <r>
        <rPr>
          <rFonts ascii="맑은 고딕" eastAsia="맑은 고딕" hAnsi="맑은 고딕" hint="eastAsia"/>
        </rPr>
        <t>·</t>
      </r>
      <r>
        <rPr>
          <rFonts ascii="맑은 고딕" eastAsia="맑은 고딕" hAnsi="맑은 고딕" hint="eastAsia"/>
        </rPr>
        <t>  Resources Division</t>
      </r>
    </p>
    <p w14:paraId="2DD39789" w14:textId="77777777" rsidR="0011439B" rsidRDefault="0011439B">
      <pPr>
        <shd val="clear" color="auto" fill="0F1C32"/>
        <spacing after="120"/>
        <outlineLvl val="1"/>
        <divId val="1801806017"/>
        <rPr>
          <rFonts ascii="맑은 고딕" eastAsia="맑은 고딕" hAnsi="맑은 고딕" hint="eastAsia"/>
          <b/>
          <bCs/>
          <color val="F4EFE6"/>
          <spacing val="-8"/>
          <kern val="36"/>
          <sz val="56"/>
          <szCs val="56"/>
        </rPr>
      </pPr>
      <r>
        <rPr>
          <rFonts ascii="맑은 고딕" eastAsia="맑은 고딕" hAnsi="맑은 고딕" hint="eastAsia"/>
          <b/>
          <bCs/>
          <color val="F4EFE6"/>
          <spacing val="-8"/>
          <kern val="36"/>
          <sz val="56"/>
          <szCs val="56"/>
        </rPr>
        <t>PT. APEX TELCOM INKO</t>
      </r>
    </p>
    <p w14:paraId="29693EDC" w14:textId="77777777" rsidR="0011439B" rsidRDefault="0011439B">
      <pPr>
        <pStyle val="a3"/>
        <shd val="clear" color="auto" fill="0F1C32"/>
        <spacing before="0" beforeAutospacing="0" after="320" afterAutospacing="0"/>
        <divId val="1801806017"/>
        <rPr>
          <rFonts ascii="맑은 고딕" eastAsia="맑은 고딕" hAnsi="맑은 고딕" hint="eastAsia"/>
          <color val="C9AB74"/>
          <sz val="32"/>
          <szCs val="32"/>
        </rPr>
      </pPr>
      <r>
        <rPr>
          <rFonts ascii="맑은 고딕" eastAsia="맑은 고딕" hAnsi="맑은 고딕" hint="eastAsia"/>
          <color val="C9AB74"/>
          <sz val="32"/>
          <szCs val="32"/>
        </rPr>
        <t>Intelligent Scenario Solution Provider</t>
      </r>
      <r>
        <rPr>
          <rFonts ascii="맑은 고딕" eastAsia="맑은 고딕" hAnsi="맑은 고딕" hint="eastAsia"/>
          <color val="C9AB74"/>
          <sz val="32"/>
          <szCs val="32"/>
        </rPr>
        <t xml:space="preserve"/>
      </r>
      <r>
        <rPr>
          <rFonts ascii="맑은 고딕" eastAsia="맑은 고딕" hAnsi="맑은 고딕" hint="eastAsia"/>
          <color val="C9AB74"/>
          <sz val="32"/>
          <szCs val="32"/>
        </rPr>
        <t/>
      </r>
      <r>
        <rPr>
          <rFonts ascii="맑은 고딕" eastAsia="맑은 고딕" hAnsi="맑은 고딕" hint="eastAsia"/>
          <color val="C9AB74"/>
          <sz val="32"/>
          <szCs val="32"/>
        </rPr>
        <t xml:space="preserve"/>
      </r>
      <r>
        <rPr>
          <rFonts ascii="맑은 고딕" eastAsia="맑은 고딕" hAnsi="맑은 고딕" hint="eastAsia"/>
          <color val="C9AB74"/>
          <sz val="32"/>
          <szCs val="32"/>
        </rPr>
        <t/>
      </r>
    </p>
    <p w14:paraId="459D3A77" w14:textId="77777777" rsidR="0011439B" rsidRDefault="0011439B">
      <pPr>
        <pStyle val="lead1"/>
        <shd val="clear" color="auto" fill="0F1C32"/>
        <divId val="1801806017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>인도네시아 탄게랑을 본사로 비철금속 스크랩, 제련 슬래그, 산업용 우드펠릿을 국내외로 유통하는 자원 트레이딩 회사입니다. 규격·품질·물류를 함께 관리하고, 필요한 등급과 물량, 납기를 기준으로 소싱부터 인도까지 맞춥니다. </t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  <r>
        <rPr>
          <rFonts ascii="맑은 고딕" eastAsia="맑은 고딕" hAnsi="맑은 고딕" hint="eastAsia"/>
        </rPr>
        <t/>
      </r>
      <r>
        <rPr>
          <rFonts ascii="맑은 고딕" eastAsia="맑은 고딕" hAnsi="맑은 고딕" hint="eastAsia"/>
        </rPr>
        <t xml:space="preserve"/>
      </r>
    </p>
    <p w14:paraId="3BD8B814" w14:textId="77777777" rsidR="0011439B" rsidRDefault="0011439B">
      <pPr>
        <pStyle val="meta1"/>
        <shd val="clear" color="auto" fill="0F1C32"/>
        <divId val="1801806017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 xml:space="preserve">Tangerang </t>
      </r>
      <r>
        <rPr>
          <rFonts ascii="맑은 고딕" eastAsia="맑은 고딕" hAnsi="맑은 고딕" hint="eastAsia"/>
        </rPr>
        <t>·</t>
      </r>
      <r>
        <rPr>
          <rFonts ascii="맑은 고딕" eastAsia="맑은 고딕" hAnsi="맑은 고딕" hint="eastAsia"/>
        </rPr>
        <t xml:space="preserve"> Dar es Salaam </t>
      </r>
      <r>
        <rPr>
          <rFonts ascii="맑은 고딕" eastAsia="맑은 고딕" hAnsi="맑은 고딕" hint="eastAsia"/>
        </rPr>
        <t>·</t>
      </r>
      <r>
        <rPr>
          <rFonts ascii="맑은 고딕" eastAsia="맑은 고딕" hAnsi="맑은 고딕" hint="eastAsia"/>
        </rPr>
        <t xml:space="preserve"> Jakarta</t>
      </r>
      <r>
        <rPr>
          <rFonts ascii="맑은 고딕" eastAsia="맑은 고딕" hAnsi="맑은 고딕" hint="eastAsia"/>
        </rPr>
        <br/>
        <t xml:space="preserve">2026  |  Confidentiality: for buyers and partners  |  </t>
      </r>
      <r>
        <rPr>
          <rFonts ascii="맑은 고딕" eastAsia="맑은 고딕" hAnsi="맑은 고딕" hint="eastAsia"/>
        </rPr>
        <t>대외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배포용</t>
      </r>
      <r>
        <rPr>
          <rFonts ascii="맑은 고딕" eastAsia="맑은 고딕" hAnsi="맑은 고딕" hint="eastAsia"/>
        </rPr>
        <t xml:space="preserve"> </t>
      </r>
    </p>
    <p w14:paraId="041AB0BC" w14:textId="77777777" rsidR="0011439B" rsidRDefault="0011439B">
      <pPr>
        <pStyle val="kicker"/>
        <spacing before="360" beforeAutospacing="0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>About</t>
      </r>
    </p>
    <p w14:paraId="0EFACB21" w14:textId="77777777" rsidR="0011439B" rsidRDefault="0011439B">
      <pPr>
        <pStyle val="2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>회사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소개</t>
      </r>
    </p>
    <p w14:paraId="464F789F" w14:textId="77777777" rsidR="0011439B" rsidRDefault="0011439B">
      <pPr>
        <pStyle val="a3"/>
        <rPr>
          <rFonts ascii="맑은 고딕" eastAsia="맑은 고딕" hAnsi="맑은 고딕" hint="eastAsia"/>
          <color val="1A2332"/>
          <sz val="21"/>
          <szCs val="21"/>
        </rPr>
      </pPr>
      <r>
        <rPr>
          <rFonts ascii="맑은 고딕" eastAsia="맑은 고딕" hAnsi="맑은 고딕" hint="eastAsia"/>
          <color val="1A2332"/>
          <sz val="21"/>
          <szCs val="21"/>
        </rPr>
        <t>PT. APEX TELCOM INKO</t>
      </r>
      <r>
        <rPr>
          <rFonts ascii="맑은 고딕" eastAsia="맑은 고딕" hAnsi="맑은 고딕" hint="eastAsia"/>
          <color val="1A2332"/>
          <sz val="21"/>
          <szCs val="21"/>
        </rPr>
        <t>는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두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개의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사업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파트를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운영합니다</t>
      </r>
      <r>
        <rPr>
          <rFonts ascii="맑은 고딕" eastAsia="맑은 고딕" hAnsi="맑은 고딕" hint="eastAsia"/>
          <color val="1A2332"/>
          <sz val="21"/>
          <szCs val="21"/>
        </rPr>
        <t xml:space="preserve">. </t>
      </r>
      <r>
        <rPr>
          <rFonts ascii="맑은 고딕" eastAsia="맑은 고딕" hAnsi="맑은 고딕" hint="eastAsia"/>
          <color val="1A2332"/>
          <sz val="21"/>
          <szCs val="21"/>
        </rPr>
        <t>이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소개서는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b/>
          <bCs/>
          <color val="1A2332"/>
          <sz val="21"/>
          <szCs val="21"/>
        </rPr>
        <t>자원파트</t>
      </r>
      <r>
        <rPr>
          <rFonts ascii="맑은 고딕" eastAsia="맑은 고딕" hAnsi="맑은 고딕" hint="eastAsia"/>
          <color val="1A2332"/>
          <sz val="21"/>
          <szCs val="21"/>
        </rPr>
        <t>를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대상으로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합니다</t>
      </r>
      <r>
        <rPr>
          <rFonts ascii="맑은 고딕" eastAsia="맑은 고딕" hAnsi="맑은 고딕" hint="eastAsia"/>
          <color val="1A2332"/>
          <sz val="21"/>
          <szCs val="21"/>
        </rPr>
        <t xml:space="preserve">. </t>
      </r>
      <r>
        <rPr>
          <rFonts ascii="맑은 고딕" eastAsia="맑은 고딕" hAnsi="맑은 고딕" hint="eastAsia"/>
          <color val="1A2332"/>
          <sz val="21"/>
          <szCs val="21"/>
        </rPr>
        <t>자원파트는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산업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현장에서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바로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쓰이는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비철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원료와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제련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부산물</t>
      </r>
      <r>
        <rPr>
          <rFonts ascii="맑은 고딕" eastAsia="맑은 고딕" hAnsi="맑은 고딕" hint="eastAsia"/>
          <color val="1A2332"/>
          <sz val="21"/>
          <szCs val="21"/>
        </rPr>
        <t xml:space="preserve">, </t>
      </r>
      <r>
        <rPr>
          <rFonts ascii="맑은 고딕" eastAsia="맑은 고딕" hAnsi="맑은 고딕" hint="eastAsia"/>
          <color val="1A2332"/>
          <sz val="21"/>
          <szCs val="21"/>
        </rPr>
        <t>바이오매스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연료를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공급합니다</t>
      </r>
      <r>
        <rPr>
          <rFonts ascii="맑은 고딕" eastAsia="맑은 고딕" hAnsi="맑은 고딕" hint="eastAsia"/>
          <color val="1A2332"/>
          <sz val="21"/>
          <szCs val="21"/>
        </rPr>
        <t xml:space="preserve">. </t>
      </r>
      <r>
        <rPr>
          <rFonts ascii="맑은 고딕" eastAsia="맑은 고딕" hAnsi="맑은 고딕" hint="eastAsia"/>
          <color val="1A2332"/>
          <sz val="21"/>
          <szCs val="21"/>
        </rPr>
        <t>전자파트</t>
      </r>
      <r>
        <rPr>
          <rFonts ascii="맑은 고딕" eastAsia="맑은 고딕" hAnsi="맑은 고딕" hint="eastAsia"/>
          <color val="1A2332"/>
          <sz val="21"/>
          <szCs val="21"/>
        </rPr>
        <t>(</t>
      </r>
      <r>
        <rPr>
          <rFonts ascii="맑은 고딕" eastAsia="맑은 고딕" hAnsi="맑은 고딕" hint="eastAsia"/>
          <color val="1A2332"/>
          <sz val="21"/>
          <szCs val="21"/>
        </rPr>
        <t>전자칠판·</t>
      </r>
      <r>
        <rPr>
          <rFonts ascii="맑은 고딕" eastAsia="맑은 고딕" hAnsi="맑은 고딕" hint="eastAsia"/>
          <color val="1A2332"/>
          <sz val="21"/>
          <szCs val="21"/>
        </rPr>
        <t>OPS</t>
      </r>
      <r>
        <rPr>
          <rFonts ascii="맑은 고딕" eastAsia="맑은 고딕" hAnsi="맑은 고딕" hint="eastAsia"/>
          <color val="1A2332"/>
          <sz val="21"/>
          <szCs val="21"/>
        </rPr>
        <t>·노트북·태블릿</t>
      </r>
      <r>
        <rPr>
          <rFonts ascii="맑은 고딕" eastAsia="맑은 고딕" hAnsi="맑은 고딕" hint="eastAsia"/>
          <color val="1A2332"/>
          <sz val="21"/>
          <szCs val="21"/>
        </rPr>
        <t>PC)</t>
      </r>
      <r>
        <rPr>
          <rFonts ascii="맑은 고딕" eastAsia="맑은 고딕" hAnsi="맑은 고딕" hint="eastAsia"/>
          <color val="1A2332"/>
          <sz val="21"/>
          <szCs val="21"/>
        </rPr>
        <t>는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별도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카탈로그로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안내합니다</t>
      </r>
      <r>
        <rPr>
          <rFonts ascii="맑은 고딕" eastAsia="맑은 고딕" hAnsi="맑은 고딕" hint="eastAsia"/>
          <color val="1A2332"/>
          <sz val="21"/>
          <szCs val="21"/>
        </rPr>
        <t xml:space="preserve">. </t>
      </r>
    </p>
    <p w14:paraId="71D3381C" w14:textId="77777777" rsidR="0011439B" rsidRDefault="0011439B">
      <pPr>
        <shd val="clear" color="auto" fill="F7F2E8"/>
        <divId val="1685132544"/>
        <rPr>
          <rFonts ascii="맑은 고딕" eastAsia="맑은 고딕" hAnsi="맑은 고딕" hint="eastAsia"/>
          <color val="1A2332"/>
          <sz val="21"/>
          <szCs val="21"/>
        </rPr>
      </pPr>
      <r>
        <rPr>
          <rFonts ascii="맑은 고딕" eastAsia="맑은 고딕" hAnsi="맑은 고딕" hint="eastAsia"/>
          <color val="1A2332"/>
          <sz val="21"/>
          <szCs val="21"/>
        </rPr>
        <t>단순 중개가 아닙니다. 등급·성분·이물을 먼저 맞추고, 공급 전 물량과 상태를 확인한 뒤 탄게랑 본사의 항만·물류 여건을 활용해 인도합니다. </t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</p>
    <tbl>
      <tblPr>
        <tblW w="5000" type="pct"/>
        <tblCellMar>
          <top w="15" type="dxa"/>
          <left w="15" type="dxa"/>
          <bottom w="15" type="dxa"/>
          <right w="15" type="dxa"/>
        </tblCellMar>
        <tblLook val="04A0" firstRow="1" lastRow="0" firstColumn="1" lastColumn="0" noHBand="0" noVBand="1"/>
      </tblPr>
      <tblGrid>
        <gridCol w="1428"/>
        <gridCol w="7598"/>
      </tblGrid>
      <tr rsidR="00000000" w14:paraId="61F942D9" w14:textId="77777777">
        <tc>
          <tcPr>
            <tcW w="0" type="auto"/>
            <shd val="clear" color="auto" fill="0F1C32"/>
            <tcMar>
              <top w="120" type="dxa"/>
              <left w="160" type="dxa"/>
              <bottom w="120" type="dxa"/>
              <right w="160" type="dxa"/>
            </tcMar>
            <vAlign val="center"/>
            <hideMark/>
          </tcPr>
          <p w14:paraId="4F1C8DE5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항목</t>
            </r>
          </p>
        </tc>
        <tc>
          <tcPr>
            <tcW w="0" type="auto"/>
            <shd val="clear" color="auto" fill="0F1C32"/>
            <tcMar>
              <top w="120" type="dxa"/>
              <left w="160" type="dxa"/>
              <bottom w="120" type="dxa"/>
              <right w="160" type="dxa"/>
            </tcMar>
            <vAlign val="center"/>
            <hideMark/>
          </tcPr>
          <p w14:paraId="157C709F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내용</t>
            </r>
          </p>
        </tc>
      </tr>
      <tr rsidR="00000000" w14:paraId="55AE8738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32867CCA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상호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6C6E11D2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PT. APEX TELCOM INKO</t>
            </r>
          </p>
        </tc>
      </tr>
      <tr rsidR="00000000" w14:paraId="7C92BF08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238658C5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대표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740846D8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Kim Gun-Hwi, President &amp; CEO</t>
            </r>
          </p>
        </tc>
      </tr>
      <tr rsidR="00000000" w14:paraId="4CBDDFD1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24B78BC5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거점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3079D3C4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The Prominence Office Tower, 10F Unit H, Jl. Jalur Sutera Barat, Pinang, Tangerang, Banten 15143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</p>
        </tc>
      </tr>
      <tr rsidR="00000000" w14:paraId="50174335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2B40380F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lastRenderedPageBreak/>
              <t>사업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영역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59B356D6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Resources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·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Electronics  /  B2B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소싱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·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검수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·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수출입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·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납품</t>
            </r>
          </p>
        </tc>
      </tr>
      <tr rsidR="00000000" w14:paraId="28DF98DC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277A1E93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자원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취급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12F3AA79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구리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스크랩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·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알루미늄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잉곳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·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주석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슬래그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·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니켈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슬래그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·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우드펠릿</t>
            </r>
          </p>
        </tc>
      </tr>
      <tr rsidR="00000000" w14:paraId="1400DCA0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24F7EC8A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연락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563A41F3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010.8820.8131 · +62 811.850.8131  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·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  nexcoapextelcom@gmail.com</t>
            </r>
          </p>
        </tc>
      </tr>
    </tbl>
    <p w14:paraId="001C9556" w14:textId="77777777" rsidR="0011439B" rsidRDefault="0011439B">
      <pPr>
        <pStyle val="3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>운영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원칙</t>
      </r>
    </p>
    <tbl>
      <tblPr>
        <tblW w="5000" type="pct"/>
        <tblCellMar>
          <top w="15" type="dxa"/>
          <left w="15" type="dxa"/>
          <bottom w="15" type="dxa"/>
          <right w="15" type="dxa"/>
        </tblCellMar>
        <tblLook val="04A0" firstRow="1" lastRow="0" firstColumn="1" lastColumn="0" noHBand="0" noVBand="1"/>
      </tblPr>
      <tblGrid>
        <gridCol w="1800"/>
        <gridCol w="7226"/>
      </tblGrid>
      <tr rsidR="00000000" w14:paraId="44ACBE70" w14:textId="77777777">
        <tc>
          <tcPr>
            <tcW w="1800" type="dxa"/>
            <shd val="clear" color="auto" fill="0F1C32"/>
            <tcMar>
              <top w="120" type="dxa"/>
              <left w="160" type="dxa"/>
              <bottom w="120" type="dxa"/>
              <right w="160" type="dxa"/>
            </tcMar>
            <vAlign val="center"/>
            <hideMark/>
          </tcPr>
          <p w14:paraId="6399A1FD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원칙</t>
            </r>
          </p>
        </tc>
        <tc>
          <tcPr>
            <tcW w="0" type="auto"/>
            <shd val="clear" color="auto" fill="0F1C32"/>
            <tcMar>
              <top w="120" type="dxa"/>
              <left w="160" type="dxa"/>
              <bottom w="120" type="dxa"/>
              <right w="160" type="dxa"/>
            </tcMar>
            <vAlign val="center"/>
            <hideMark/>
          </tcPr>
          <p w14:paraId="17E84506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내용</t>
            </r>
          </p>
        </tc>
      </tr>
      <tr rsidR="00000000" w14:paraId="020A866A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32129E90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규격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확인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0F59C5EB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ISRI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등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국제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통용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등급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,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성분표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,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수분·이물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기준을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계약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조건으로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확정합니다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.</t>
            </r>
          </p>
        </tc>
      </tr>
      <tr rsidR="00000000" w14:paraId="2206726F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68D35344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품질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검수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0E2E51D8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선적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검사와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필요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시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양륙지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재검정을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전제로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합니다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.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서류만으로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물량을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확정하지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않습니다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.</t>
            </r>
          </p>
        </tc>
      </tr>
      <tr rsidR="00000000" w14:paraId="6628749D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6C60D12E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물류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연결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5945CF24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탄게랑을 축으로 일정·항구·인도를 맞추고, 반복 공급은 선적 캘린더로 관리합니다.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</p>
        </tc>
      </tr>
    </tbl>
    <p w14:paraId="390E9163" w14:textId="77777777" rsidR="0011439B" rsidRDefault="0011439B">
      <pPr>
        <pStyle val="kicker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>Products</t>
      </r>
    </p>
    <p w14:paraId="7EEC6172" w14:textId="77777777" rsidR="0011439B" rsidRDefault="0011439B">
      <pPr>
        <pStyle val="2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>취급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품목</t>
      </r>
    </p>
    <p w14:paraId="4D63547D" w14:textId="77777777" rsidR="0011439B" rsidRDefault="0011439B">
      <pPr>
        <pStyle val="muted"/>
        <spacing after="100" afterAutospacing="1"/>
        <rPr>
          <rFonts ascii="맑은 고딕" eastAsia="맑은 고딕" hAnsi="맑은 고딕" hint="eastAsia"/>
          <sz val="21"/>
          <szCs val="21"/>
        </rPr>
      </pPr>
      <r>
        <rPr>
          <rFonts ascii="맑은 고딕" eastAsia="맑은 고딕" hAnsi="맑은 고딕" hint="eastAsia"/>
          <sz val="21"/>
          <szCs val="21"/>
        </rPr>
        <t>금속</t>
      </r>
      <r>
        <rPr>
          <rFonts ascii="맑은 고딕" eastAsia="맑은 고딕" hAnsi="맑은 고딕" hint="eastAsia"/>
          <sz val="21"/>
          <szCs val="21"/>
        </rPr>
        <t xml:space="preserve"> </t>
      </r>
      <r>
        <rPr>
          <rFonts ascii="맑은 고딕" eastAsia="맑은 고딕" hAnsi="맑은 고딕" hint="eastAsia"/>
          <sz val="21"/>
          <szCs val="21"/>
        </rPr>
        <t>원료부터</t>
      </r>
      <r>
        <rPr>
          <rFonts ascii="맑은 고딕" eastAsia="맑은 고딕" hAnsi="맑은 고딕" hint="eastAsia"/>
          <sz val="21"/>
          <szCs val="21"/>
        </rPr>
        <t xml:space="preserve"> </t>
      </r>
      <r>
        <rPr>
          <rFonts ascii="맑은 고딕" eastAsia="맑은 고딕" hAnsi="맑은 고딕" hint="eastAsia"/>
          <sz val="21"/>
          <szCs val="21"/>
        </rPr>
        <t>제련</t>
      </r>
      <r>
        <rPr>
          <rFonts ascii="맑은 고딕" eastAsia="맑은 고딕" hAnsi="맑은 고딕" hint="eastAsia"/>
          <sz val="21"/>
          <szCs val="21"/>
        </rPr>
        <t xml:space="preserve"> </t>
      </r>
      <r>
        <rPr>
          <rFonts ascii="맑은 고딕" eastAsia="맑은 고딕" hAnsi="맑은 고딕" hint="eastAsia"/>
          <sz val="21"/>
          <szCs val="21"/>
        </rPr>
        <t>부산물</t>
      </r>
      <r>
        <rPr>
          <rFonts ascii="맑은 고딕" eastAsia="맑은 고딕" hAnsi="맑은 고딕" hint="eastAsia"/>
          <sz val="21"/>
          <szCs val="21"/>
        </rPr>
        <t xml:space="preserve">, </t>
      </r>
      <r>
        <rPr>
          <rFonts ascii="맑은 고딕" eastAsia="맑은 고딕" hAnsi="맑은 고딕" hint="eastAsia"/>
          <sz val="21"/>
          <szCs val="21"/>
        </rPr>
        <t>친환경</t>
      </r>
      <r>
        <rPr>
          <rFonts ascii="맑은 고딕" eastAsia="맑은 고딕" hAnsi="맑은 고딕" hint="eastAsia"/>
          <sz val="21"/>
          <szCs val="21"/>
        </rPr>
        <t xml:space="preserve"> </t>
      </r>
      <r>
        <rPr>
          <rFonts ascii="맑은 고딕" eastAsia="맑은 고딕" hAnsi="맑은 고딕" hint="eastAsia"/>
          <sz val="21"/>
          <szCs val="21"/>
        </rPr>
        <t>연료까지</t>
      </r>
      <r>
        <rPr>
          <rFonts ascii="맑은 고딕" eastAsia="맑은 고딕" hAnsi="맑은 고딕" hint="eastAsia"/>
          <sz val="21"/>
          <szCs val="21"/>
        </rPr>
        <t xml:space="preserve">. </t>
      </r>
      <r>
        <rPr>
          <rFonts ascii="맑은 고딕" eastAsia="맑은 고딕" hAnsi="맑은 고딕" hint="eastAsia"/>
          <sz val="21"/>
          <szCs val="21"/>
        </rPr>
        <t>산업</t>
      </r>
      <r>
        <rPr>
          <rFonts ascii="맑은 고딕" eastAsia="맑은 고딕" hAnsi="맑은 고딕" hint="eastAsia"/>
          <sz val="21"/>
          <szCs val="21"/>
        </rPr>
        <t xml:space="preserve"> </t>
      </r>
      <r>
        <rPr>
          <rFonts ascii="맑은 고딕" eastAsia="맑은 고딕" hAnsi="맑은 고딕" hint="eastAsia"/>
          <sz val="21"/>
          <szCs val="21"/>
        </rPr>
        <t>현장에서</t>
      </r>
      <r>
        <rPr>
          <rFonts ascii="맑은 고딕" eastAsia="맑은 고딕" hAnsi="맑은 고딕" hint="eastAsia"/>
          <sz val="21"/>
          <szCs val="21"/>
        </rPr>
        <t xml:space="preserve"> </t>
      </r>
      <r>
        <rPr>
          <rFonts ascii="맑은 고딕" eastAsia="맑은 고딕" hAnsi="맑은 고딕" hint="eastAsia"/>
          <sz val="21"/>
          <szCs val="21"/>
        </rPr>
        <t>바로</t>
      </r>
      <r>
        <rPr>
          <rFonts ascii="맑은 고딕" eastAsia="맑은 고딕" hAnsi="맑은 고딕" hint="eastAsia"/>
          <sz val="21"/>
          <szCs val="21"/>
        </rPr>
        <t xml:space="preserve"> </t>
      </r>
      <r>
        <rPr>
          <rFonts ascii="맑은 고딕" eastAsia="맑은 고딕" hAnsi="맑은 고딕" hint="eastAsia"/>
          <sz val="21"/>
          <szCs val="21"/>
        </rPr>
        <t>쓰이는</t>
      </r>
      <r>
        <rPr>
          <rFonts ascii="맑은 고딕" eastAsia="맑은 고딕" hAnsi="맑은 고딕" hint="eastAsia"/>
          <sz val="21"/>
          <szCs val="21"/>
        </rPr>
        <t xml:space="preserve"> </t>
      </r>
      <r>
        <rPr>
          <rFonts ascii="맑은 고딕" eastAsia="맑은 고딕" hAnsi="맑은 고딕" hint="eastAsia"/>
          <sz val="21"/>
          <szCs val="21"/>
        </rPr>
        <t>자원을</t>
      </r>
      <r>
        <rPr>
          <rFonts ascii="맑은 고딕" eastAsia="맑은 고딕" hAnsi="맑은 고딕" hint="eastAsia"/>
          <sz val="21"/>
          <szCs val="21"/>
        </rPr>
        <t xml:space="preserve"> </t>
      </r>
      <r>
        <rPr>
          <rFonts ascii="맑은 고딕" eastAsia="맑은 고딕" hAnsi="맑은 고딕" hint="eastAsia"/>
          <sz val="21"/>
          <szCs val="21"/>
        </rPr>
        <t>공급합니다</t>
      </r>
      <r>
        <rPr>
          <rFonts ascii="맑은 고딕" eastAsia="맑은 고딕" hAnsi="맑은 고딕" hint="eastAsia"/>
          <sz val="21"/>
          <szCs val="21"/>
        </rPr>
        <t>.</t>
      </r>
    </p>
    <tbl>
      <tblPr>
        <tblW w="5000" type="pct"/>
        <tblCellMar>
          <top w="15" type="dxa"/>
          <left w="15" type="dxa"/>
          <bottom w="15" type="dxa"/>
          <right w="15" type="dxa"/>
        </tblCellMar>
        <tblLook val="04A0" firstRow="1" lastRow="0" firstColumn="1" lastColumn="0" noHBand="0" noVBand="1"/>
      </tblPr>
      <tblGrid>
        <gridCol w="1274"/>
        <gridCol w="1428"/>
        <gridCol w="4463"/>
        <gridCol w="1861"/>
      </tblGrid>
      <tr rsidR="00000000" w14:paraId="26EBB598" w14:textId="77777777">
        <tc>
          <tcPr>
            <tcW w="0" type="auto"/>
            <shd val="clear" color="auto" fill="0F1C32"/>
            <tcMar>
              <top w="120" type="dxa"/>
              <left w="160" type="dxa"/>
              <bottom w="120" type="dxa"/>
              <right w="160" type="dxa"/>
            </tcMar>
            <vAlign val="center"/>
            <hideMark/>
          </tcPr>
          <p w14:paraId="76AD25D6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품목</t>
            </r>
          </p>
        </tc>
        <tc>
          <tcPr>
            <tcW w="0" type="auto"/>
            <shd val="clear" color="auto" fill="0F1C32"/>
            <tcMar>
              <top w="120" type="dxa"/>
              <left w="160" type="dxa"/>
              <bottom w="120" type="dxa"/>
              <right w="160" type="dxa"/>
            </tcMar>
            <vAlign val="center"/>
            <hideMark/>
          </tcPr>
          <p w14:paraId="6B916831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영문</t>
            </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 xml:space="preserve"> / </t>
            </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대표</t>
            </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 xml:space="preserve"> HS</t>
            </r>
          </p>
        </tc>
        <tc>
          <tcPr>
            <tcW w="0" type="auto"/>
            <shd val="clear" color="auto" fill="0F1C32"/>
            <tcMar>
              <top w="120" type="dxa"/>
              <left w="160" type="dxa"/>
              <bottom w="120" type="dxa"/>
              <right w="160" type="dxa"/>
            </tcMar>
            <vAlign val="center"/>
            <hideMark/>
          </tcPr>
          <p w14:paraId="44571DE8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설명</t>
            </r>
          </p>
        </tc>
        <tc>
          <tcPr>
            <tcW w="0" type="auto"/>
            <shd val="clear" color="auto" fill="0F1C32"/>
            <tcMar>
              <top w="120" type="dxa"/>
              <left w="160" type="dxa"/>
              <bottom w="120" type="dxa"/>
              <right w="160" type="dxa"/>
            </tcMar>
            <vAlign val="center"/>
            <hideMark/>
          </tcPr>
          <p w14:paraId="5D231BBB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공급</t>
            </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포인트</t>
            </r>
          </p>
        </tc>
      </tr>
      <tr rsidR="00000000" w14:paraId="46D3F2CC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3BA247D5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lastRenderedPageBreak/>
              <t>구리</t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>스크랩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5BAA9862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Copper Scrap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br/>
              <t>HS 7404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3AA4D7EB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전선·밀베리·버치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등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국제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통용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등급의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구리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스크랩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.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전기·건설·제조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현장의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핵심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비철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원료입니다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.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60FC36EC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전선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/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동파이프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/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부스바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br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등급별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선별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·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수분·이물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관리</t>
            </r>
          </p>
        </tc>
      </tr>
      <tr rsidR="00000000" w14:paraId="49048F9B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4C1647A3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>알루미늄</t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>잉곳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0DC715A7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Aluminum Ingot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br/>
              <t>HS 7601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29966E8D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다이캐스팅·주조에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쓰이는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재생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알루미늄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잉곳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.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성분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안정성과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연속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공급을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우선합니다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.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0B1BEA9F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ADC12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등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주조용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잉곳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br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성분표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기준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매칭</t>
            </r>
          </p>
        </tc>
      </tr>
      <tr rsidR="00000000" w14:paraId="19C20587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4F060FD7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>주석</t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>슬래그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369A7F7A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Tin Slag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br/>
              <t xml:space="preserve">HS 2620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계열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60193306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주석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제련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과정에서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발생하는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슬래그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.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주석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및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유가금속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회수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원료로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활용됩니다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.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41C766DD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Sn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함량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기준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소싱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br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회수·제련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원료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공급</t>
            </r>
          </p>
        </tc>
      </tr>
      <tr rsidR="00000000" w14:paraId="39090961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435ACC55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>니켈</t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>슬래그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0D5DACE0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Nickel Slag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br/>
              <t xml:space="preserve">HS 2620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계열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5DBDD89A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니켈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제련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슬래그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.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스테인리스·특수합금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원료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회수와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산업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부산물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자원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순환에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쓰입니다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.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572B73DF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Ni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계열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제련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부산물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br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합금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원료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회수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용도</t>
            </r>
          </p>
        </tc>
      </tr>
      <tr rsidR="00000000" w14:paraId="626D65E9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2AB9A023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>우드펠릿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2E4126A6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Wood Pellets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br/>
              <t>HS 4401.31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1474702B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산업용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보일러와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발전에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쓰이는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바이오매스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연료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.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함수율·발열량·규격을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기준으로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안정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공급합니다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.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51FFEE7F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산업·발전용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고형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연료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br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신재생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에너지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원료</t>
            </r>
          </p>
        </tc>
      </tr>
    </tbl>
    <p w14:paraId="19EB8B71" w14:textId="77777777" rsidR="0011439B" rsidRDefault="0011439B">
      <pPr>
        <pStyle val="small"/>
        <spacing after="100" afterAutospacing="1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 xml:space="preserve">HS </t>
      </r>
      <r>
        <rPr>
          <rFonts ascii="맑은 고딕" eastAsia="맑은 고딕" hAnsi="맑은 고딕" hint="eastAsia"/>
        </rPr>
        <t>코드는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대표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분류입니다</t>
      </r>
      <r>
        <rPr>
          <rFonts ascii="맑은 고딕" eastAsia="맑은 고딕" hAnsi="맑은 고딕" hint="eastAsia"/>
        </rPr>
        <t xml:space="preserve">. </t>
      </r>
      <r>
        <rPr>
          <rFonts ascii="맑은 고딕" eastAsia="맑은 고딕" hAnsi="맑은 고딕" hint="eastAsia"/>
        </rPr>
        <t>실제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통관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코드는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성상·가공도·원산지에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따라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사전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확인합니다</t>
      </r>
      <r>
        <rPr>
          <rFonts ascii="맑은 고딕" eastAsia="맑은 고딕" hAnsi="맑은 고딕" hint="eastAsia"/>
        </rPr>
        <t xml:space="preserve">. </t>
      </r>
      <r>
        <rPr>
          <rFonts ascii="맑은 고딕" eastAsia="맑은 고딕" hAnsi="맑은 고딕" hint="eastAsia"/>
        </rPr>
        <t>슬래그·스크랩은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수출국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허가와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한국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폐기물·순환자원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해당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여부를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거래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전에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검토합니다</t>
      </r>
      <r>
        <rPr>
          <rFonts ascii="맑은 고딕" eastAsia="맑은 고딕" hAnsi="맑은 고딕" hint="eastAsia"/>
        </rPr>
        <t>.</t>
      </r>
    </p>
    <p w14:paraId="7C5121D3" w14:textId="77777777" rsidR="0011439B" rsidRDefault="0011439B">
      <pPr>
        <pStyle val="3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>거래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방식</t>
      </r>
    </p>
    <p w14:paraId="4F8B8932" w14:textId="77777777" rsidR="0011439B" rsidRDefault="0011439B">
      <pPr>
        <numPr>
          <ilvl val="0"/>
          <numId val="1"/>
        </numPr>
        <spacing before="100" beforeAutospacing="1" after="60"/>
        <ind left="1040"/>
        <rPr>
          <rFonts ascii="맑은 고딕" eastAsia="맑은 고딕" hAnsi="맑은 고딕" hint="eastAsia"/>
          <color val="1A2332"/>
          <sz val="21"/>
          <szCs val="21"/>
        </rPr>
      </pPr>
      <r>
        <rPr>
          <rFonts ascii="맑은 고딕" eastAsia="맑은 고딕" hAnsi="맑은 고딕" hint="eastAsia"/>
          <color val="1A2332"/>
          <sz val="21"/>
          <szCs val="21"/>
        </rPr>
        <t xml:space="preserve">B2B </t>
      </r>
      <r>
        <rPr>
          <rFonts ascii="맑은 고딕" eastAsia="맑은 고딕" hAnsi="맑은 고딕" hint="eastAsia"/>
          <color val="1A2332"/>
          <sz val="21"/>
          <szCs val="21"/>
        </rPr>
        <t>수출입</t>
      </r>
      <r>
        <rPr>
          <rFonts ascii="맑은 고딕" eastAsia="맑은 고딕" hAnsi="맑은 고딕" hint="eastAsia"/>
          <color val="1A2332"/>
          <sz val="21"/>
          <szCs val="21"/>
        </rPr>
        <t xml:space="preserve">. </t>
      </r>
      <r>
        <rPr>
          <rFonts ascii="맑은 고딕" eastAsia="맑은 고딕" hAnsi="맑은 고딕" hint="eastAsia"/>
          <color val="1A2332"/>
          <sz val="21"/>
          <szCs val="21"/>
        </rPr>
        <t>제련·신동·재활용·발전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등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실수요처와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수입상사에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공급합니다</t>
      </r>
      <r>
        <rPr>
          <rFonts ascii="맑은 고딕" eastAsia="맑은 고딕" hAnsi="맑은 고딕" hint="eastAsia"/>
          <color val="1A2332"/>
          <sz val="21"/>
          <szCs val="21"/>
        </rPr>
        <t>.</t>
      </r>
    </p>
    <p w14:paraId="371B3295" w14:textId="77777777" rsidR="0011439B" rsidRDefault="0011439B">
      <pPr>
        <numPr>
          <ilvl val="0"/>
          <numId val="1"/>
        </numPr>
        <spacing before="100" beforeAutospacing="1" after="60"/>
        <ind left="1040"/>
        <rPr>
          <rFonts ascii="맑은 고딕" eastAsia="맑은 고딕" hAnsi="맑은 고딕" hint="eastAsia"/>
          <color val="1A2332"/>
          <sz val="21"/>
          <szCs val="21"/>
        </rPr>
      </pPr>
      <r>
        <rPr>
          <rFonts ascii="맑은 고딕" eastAsia="맑은 고딕" hAnsi="맑은 고딕" hint="eastAsia"/>
          <color val="1A2332"/>
          <sz val="21"/>
          <szCs val="21"/>
        </rPr>
        <t xml:space="preserve">Incoterms 2020 </t>
      </r>
      <r>
        <rPr>
          <rFonts ascii="맑은 고딕" eastAsia="맑은 고딕" hAnsi="맑은 고딕" hint="eastAsia"/>
          <color val="1A2332"/>
          <sz val="21"/>
          <szCs val="21"/>
        </rPr>
        <t>기준으로</t>
      </r>
      <r>
        <rPr>
          <rFonts ascii="맑은 고딕" eastAsia="맑은 고딕" hAnsi="맑은 고딕" hint="eastAsia"/>
          <color val="1A2332"/>
          <sz val="21"/>
          <szCs val="21"/>
        </rPr>
        <t xml:space="preserve"> CIF, FCA </t>
      </r>
      <r>
        <rPr>
          <rFonts ascii="맑은 고딕" eastAsia="맑은 고딕" hAnsi="맑은 고딕" hint="eastAsia"/>
          <color val="1A2332"/>
          <sz val="21"/>
          <szCs val="21"/>
        </rPr>
        <t>등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조건과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검사·정산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시점을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계약에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명시합니다</t>
      </r>
      <r>
        <rPr>
          <rFonts ascii="맑은 고딕" eastAsia="맑은 고딕" hAnsi="맑은 고딕" hint="eastAsia"/>
          <color val="1A2332"/>
          <sz val="21"/>
          <szCs val="21"/>
        </rPr>
        <t>.</t>
      </r>
    </p>
    <p w14:paraId="29705BCA" w14:textId="77777777" rsidR="0011439B" rsidRDefault="0011439B">
      <pPr>
        <numPr>
          <ilvl val="0"/>
          <numId val="1"/>
        </numPr>
        <spacing before="100" beforeAutospacing="1" after="60"/>
        <ind left="1040"/>
        <rPr>
          <rFonts ascii="맑은 고딕" eastAsia="맑은 고딕" hAnsi="맑은 고딕" hint="eastAsia"/>
          <color val="1A2332"/>
          <sz val="21"/>
          <szCs val="21"/>
        </rPr>
      </pPr>
      <r>
        <rPr>
          <rFonts ascii="맑은 고딕" eastAsia="맑은 고딕" hAnsi="맑은 고딕" hint="eastAsia"/>
          <color val="1A2332"/>
          <sz val="21"/>
          <szCs val="21"/>
        </rPr>
        <t>첫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거래는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시험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선적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후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반복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물량으로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확대하는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것을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권장합니다</t>
      </r>
      <r>
        <rPr>
          <rFonts ascii="맑은 고딕" eastAsia="맑은 고딕" hAnsi="맑은 고딕" hint="eastAsia"/>
          <color val="1A2332"/>
          <sz val="21"/>
          <szCs val="21"/>
        </rPr>
        <t>.</t>
      </r>
    </p>
    <p w14:paraId="567E302B" w14:textId="77777777" rsidR="0011439B" rsidRDefault="0011439B">
      <pPr>
        <numPr>
          <ilvl val="0"/>
          <numId val="1"/>
        </numPr>
        <spacing before="100" beforeAutospacing="1" after="60"/>
        <ind left="1040"/>
        <rPr>
          <rFonts ascii="맑은 고딕" eastAsia="맑은 고딕" hAnsi="맑은 고딕" hint="eastAsia"/>
          <color val="1A2332"/>
          <sz val="21"/>
          <szCs val="21"/>
        </rPr>
      </pPr>
      <r>
        <rPr>
          <rFonts ascii="맑은 고딕" eastAsia="맑은 고딕" hAnsi="맑은 고딕" hint="eastAsia"/>
          <color val="1A2332"/>
          <sz val="21"/>
          <szCs val="21"/>
        </rPr>
        <t>대금은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법인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계좌로만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수수하며</t>
      </r>
      <r>
        <rPr>
          <rFonts ascii="맑은 고딕" eastAsia="맑은 고딕" hAnsi="맑은 고딕" hint="eastAsia"/>
          <color val="1A2332"/>
          <sz val="21"/>
          <szCs val="21"/>
        </rPr>
        <t xml:space="preserve">, </t>
      </r>
      <r>
        <rPr>
          <rFonts ascii="맑은 고딕" eastAsia="맑은 고딕" hAnsi="맑은 고딕" hint="eastAsia"/>
          <color val="1A2332"/>
          <sz val="21"/>
          <szCs val="21"/>
        </rPr>
        <t>선적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전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검사와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서류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대조를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지급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조건에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연결합니다</t>
      </r>
      <r>
        <rPr>
          <rFonts ascii="맑은 고딕" eastAsia="맑은 고딕" hAnsi="맑은 고딕" hint="eastAsia"/>
          <color val="1A2332"/>
          <sz val="21"/>
          <szCs val="21"/>
        </rPr>
        <t>.</t>
      </r>
    </p>
    <p w14:paraId="420ACF04" w14:textId="77777777" rsidR="0011439B" rsidRDefault="0011439B">
      <pPr>
        <pStyle val="kicker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>Global Network</t>
      </r>
    </p>
    <p w14:paraId="33B4ADC9" w14:textId="77777777" rsidR="0011439B" rsidRDefault="0011439B">
      <pPr>
        <pStyle val="2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>글로벌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소싱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네트워크</t>
      </r>
    </p>
    <p w14:paraId="357BCFFC" w14:textId="77777777" rsidR="0011439B" rsidRDefault="0011439B">
      <pPr>
        <pStyle val="a3"/>
        <rPr>
          <rFonts ascii="맑은 고딕" eastAsia="맑은 고딕" hAnsi="맑은 고딕" hint="eastAsia"/>
          <color val="1A2332"/>
          <sz val="21"/>
          <szCs val="21"/>
        </rPr>
      </pPr>
      <r>
        <rPr>
          <rFonts ascii="맑은 고딕" eastAsia="맑은 고딕" hAnsi="맑은 고딕" hint="eastAsia"/>
          <color val="1A2332"/>
          <sz val="21"/>
          <szCs val="21"/>
        </rPr>
        <t>자원은 탄자니아 다르에스살람과 인도네시아 자카르타에서 소싱하고, 탄게랑 본사를 통해 검수·납품합니다. 전자기기는 중국 선전에서 별도 소싱합니다.</t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 xml:space="preserve"/>
      </r>
      <r>
        <rPr>
          <rFonts ascii="맑은 고딕" eastAsia="맑은 고딕" hAnsi="맑은 고딕" hint="eastAsia"/>
          <color val="1A2332"/>
          <sz val="21"/>
          <szCs val="21"/>
        </rPr>
        <t/>
      </r>
      <r>
        <rPr>
          <rFonts ascii="맑은 고딕" eastAsia="맑은 고딕" hAnsi="맑은 고딕" hint="eastAsia"/>
          <color val="1A2332"/>
          <sz val="21"/>
          <szCs val="21"/>
        </rPr>
        <t/>
      </r>
    </p>
    <tbl>
      <tblPr>
        <tblW w="5000" type="pct"/>
        <tblCellMar>
          <top w="15" type="dxa"/>
          <left w="15" type="dxa"/>
          <bottom w="15" type="dxa"/>
          <right w="15" type="dxa"/>
        </tblCellMar>
        <tblLook val="04A0" firstRow="1" lastRow="0" firstColumn="1" lastColumn="0" noHBand="0" noVBand="1"/>
      </tblPr>
      <tblGrid>
        <gridCol w="1520"/>
        <gridCol w="1376"/>
        <gridCol w="6130"/>
      </tblGrid>
      <tr rsidR="00000000" w14:paraId="3FA51F15" w14:textId="77777777">
        <tc>
          <tcPr>
            <tcW w="0" type="auto"/>
            <shd val="clear" color="auto" fill="0F1C32"/>
            <tcMar>
              <top w="120" type="dxa"/>
              <left w="160" type="dxa"/>
              <bottom w="120" type="dxa"/>
              <right w="160" type="dxa"/>
            </tcMar>
            <vAlign val="center"/>
            <hideMark/>
          </tcPr>
          <p w14:paraId="69E6D9D3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거점</t>
            </r>
          </p>
        </tc>
        <tc>
          <tcPr>
            <tcW w="0" type="auto"/>
            <shd val="clear" color="auto" fill="0F1C32"/>
            <tcMar>
              <top w="120" type="dxa"/>
              <left w="160" type="dxa"/>
              <bottom w="120" type="dxa"/>
              <right w="160" type="dxa"/>
            </tcMar>
            <vAlign val="center"/>
            <hideMark/>
          </tcPr>
          <p w14:paraId="583F6757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국가</t>
            </r>
          </p>
        </tc>
        <tc>
          <tcPr>
            <tcW w="0" type="auto"/>
            <shd val="clear" color="auto" fill="0F1C32"/>
            <tcMar>
              <top w="120" type="dxa"/>
              <left w="160" type="dxa"/>
              <bottom w="120" type="dxa"/>
              <right w="160" type="dxa"/>
            </tcMar>
            <vAlign val="center"/>
            <hideMark/>
          </tcPr>
          <p w14:paraId="136C5FD5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역할</t>
            </r>
          </p>
        </tc>
      </tr>
      <tr rsidR="00000000" w14:paraId="4264EED7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3CA64504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다르에스살람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51B282DE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탄자니아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48536560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아프리카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동부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인도양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항만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자원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공급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거점</t>
            </r>
          </p>
        </tc>
      </tr>
      <tr rsidR="00000000" w14:paraId="0E2BA0A3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352B7537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자카르타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5F3C80EA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인도네시아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2F2A8B38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자와섬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항만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자원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공급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거점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.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현지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파트너를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통해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매입·검수·통관을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수행합니다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.</t>
            </r>
          </p>
        </tc>
      </tr>
      <tr rsidR="00000000" w14:paraId="1327237C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3ABE5705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탄게랑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331D316F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대한민국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01FE4845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소싱·검수·납품을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연결하는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운영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거점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.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항만·물류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접근성</t>
            </r>
          </p>
        </tc>
      </tr>
      <tr rsidR="00000000" w14:paraId="31B26272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5F890A2A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선전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2757CDFE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중국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광둥성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6E864FDA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전자기기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공급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거점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(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전자파트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)</t>
            </r>
          </p>
        </tc>
      </tr>
    </tbl>
    <p w14:paraId="237779D2" w14:textId="77777777" rsidR="0011439B" rsidRDefault="0011439B">
      <pPr>
        <pStyle val="kicker"/>
        <spacing before="320" beforeAutospacing="0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>How We Work</t>
      </r>
    </p>
    <p w14:paraId="39892EED" w14:textId="77777777" rsidR="0011439B" rsidRDefault="0011439B">
      <pPr>
        <pStyle val="2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>견적부터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인도까지</t>
      </r>
    </p>
    <tbl>
      <tblPr>
        <tblW w="5000" type="pct"/>
        <tblCellMar>
          <top w="15" type="dxa"/>
          <left w="15" type="dxa"/>
          <bottom w="15" type="dxa"/>
          <right w="15" type="dxa"/>
        </tblCellMar>
        <tblLook val="04A0" firstRow="1" lastRow="0" firstColumn="1" lastColumn="0" noHBand="0" noVBand="1"/>
      </tblPr>
      <tblGrid>
        <gridCol w="720"/>
        <gridCol w="8306"/>
      </tblGrid>
      <tr rsidR="00000000" w14:paraId="385735C0" w14:textId="77777777">
        <tc>
          <tcPr>
            <tcW w="720" type="dxa"/>
            <shd val="clear" color="auto" fill="0F1C32"/>
            <tcMar>
              <top w="120" type="dxa"/>
              <left w="160" type="dxa"/>
              <bottom w="120" type="dxa"/>
              <right w="160" type="dxa"/>
            </tcMar>
            <vAlign val="center"/>
            <hideMark/>
          </tcPr>
          <p w14:paraId="5EDA186E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단계</t>
            </r>
          </p>
        </tc>
        <tc>
          <tcPr>
            <tcW w="0" type="auto"/>
            <shd val="clear" color="auto" fill="0F1C32"/>
            <tcMar>
              <top w="120" type="dxa"/>
              <left w="160" type="dxa"/>
              <bottom w="120" type="dxa"/>
              <right w="160" type="dxa"/>
            </tcMar>
            <vAlign val="center"/>
            <hideMark/>
          </tcPr>
          <p w14:paraId="6FE82819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내용</t>
            </r>
          </p>
        </tc>
      </tr>
      <tr rsidR="00000000" w14:paraId="3742C278" w14:textId="77777777">
        <tc>
          <tcPr>
            <tcW w="560" type="dxa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04B5EB88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b/>
                <bCs/>
                <color val="B8955A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B8955A"/>
                <sz val="20"/>
                <szCs val="20"/>
              </rPr>
              <t>01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52197FA5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>수요</t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>파악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br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품목과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등급·사양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,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물량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,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납기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,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인도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조건을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기준으로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요구사항을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정리합니다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.</t>
            </r>
          </p>
        </tc>
      </tr>
      <tr rsidR="00000000" w14:paraId="129FED24" w14:textId="77777777">
        <tc>
          <tcPr>
            <tcW w="560" type="dxa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172B5428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b/>
                <bCs/>
                <color val="B8955A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B8955A"/>
                <sz val="20"/>
                <szCs val="20"/>
              </rPr>
              <t>02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74483ED8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>소싱</t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>·</t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>검수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br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국내외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공급망에서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규격에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맞는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물량을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확보하고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,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지정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검사기관으로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품질·중량을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확인합니다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.</t>
            </r>
          </p>
        </tc>
      </tr>
      <tr rsidR="00000000" w14:paraId="1C6679E0" w14:textId="77777777">
        <tc>
          <tcPr>
            <tcW w="560" type="dxa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1C593D8B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b/>
                <bCs/>
                <color val="B8955A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B8955A"/>
                <sz val="20"/>
                <szCs val="20"/>
              </rPr>
              <t>03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269AD191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>물류 · 인도탄게랑 본사의 물류 여건을 활용해 일정에 맞춰 인도합니다. 수출 서류·원산지·봉인 정보를 함께 넘깁니다.</t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br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</p>
        </tc>
      </tr>
      <tr rsidR="00000000" w14:paraId="18C0EE80" w14:textId="77777777">
        <tc>
          <tcPr>
            <tcW w="560" type="dxa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225E43D1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b/>
                <bCs/>
                <color val="B8955A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B8955A"/>
                <sz val="20"/>
                <szCs val="20"/>
              </rPr>
              <t>04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155C80AB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>사후</t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b/>
                <bCs/>
                <color val="1A2332"/>
                <sz val="20"/>
                <szCs val="20"/>
              </rPr>
              <t>관리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br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반복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공급은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재고·선적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일정을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함께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맞추고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,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클레임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기한과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정산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산식을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계약에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남겨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> 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둡니다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.</t>
            </r>
          </p>
        </tc>
      </tr>
    </tbl>
    <p w14:paraId="3C8A57D4" w14:textId="77777777" rsidR="0011439B" rsidRDefault="0011439B">
      <pPr>
        <pStyle val="3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>문의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시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알려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주시면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빠른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회신이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가능합니다</t>
      </r>
    </p>
    <p w14:paraId="225823C1" w14:textId="77777777" rsidR="0011439B" rsidRDefault="0011439B">
      <pPr>
        <numPr>
          <ilvl val="0"/>
          <numId val="2"/>
        </numPr>
        <spacing before="100" beforeAutospacing="1" after="60"/>
        <ind left="1040"/>
        <rPr>
          <rFonts ascii="맑은 고딕" eastAsia="맑은 고딕" hAnsi="맑은 고딕" hint="eastAsia"/>
          <color val="1A2332"/>
          <sz val="21"/>
          <szCs val="21"/>
        </rPr>
      </pPr>
      <r>
        <rPr>
          <rFonts ascii="맑은 고딕" eastAsia="맑은 고딕" hAnsi="맑은 고딕" hint="eastAsia"/>
          <color val="1A2332"/>
          <sz val="21"/>
          <szCs val="21"/>
        </rPr>
        <t>품목과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희망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등급</t>
      </r>
      <r>
        <rPr>
          <rFonts ascii="맑은 고딕" eastAsia="맑은 고딕" hAnsi="맑은 고딕" hint="eastAsia"/>
          <color val="1A2332"/>
          <sz val="21"/>
          <szCs val="21"/>
        </rPr>
        <t xml:space="preserve"> (</t>
      </r>
      <r>
        <rPr>
          <rFonts ascii="맑은 고딕" eastAsia="맑은 고딕" hAnsi="맑은 고딕" hint="eastAsia"/>
          <color val="1A2332"/>
          <sz val="21"/>
          <szCs val="21"/>
        </rPr>
        <t>예</t>
      </r>
      <r>
        <rPr>
          <rFonts ascii="맑은 고딕" eastAsia="맑은 고딕" hAnsi="맑은 고딕" hint="eastAsia"/>
          <color val="1A2332"/>
          <sz val="21"/>
          <szCs val="21"/>
        </rPr>
        <t xml:space="preserve">: </t>
      </r>
      <r>
        <rPr>
          <rFonts ascii="맑은 고딕" eastAsia="맑은 고딕" hAnsi="맑은 고딕" hint="eastAsia"/>
          <color val="1A2332"/>
          <sz val="21"/>
          <szCs val="21"/>
        </rPr>
        <t>밀베리</t>
      </r>
      <r>
        <rPr>
          <rFonts ascii="맑은 고딕" eastAsia="맑은 고딕" hAnsi="맑은 고딕" hint="eastAsia"/>
          <color val="1A2332"/>
          <sz val="21"/>
          <szCs val="21"/>
        </rPr>
        <t xml:space="preserve">, ADC12, Sn </t>
      </r>
      <r>
        <rPr>
          <rFonts ascii="맑은 고딕" eastAsia="맑은 고딕" hAnsi="맑은 고딕" hint="eastAsia"/>
          <color val="1A2332"/>
          <sz val="21"/>
          <szCs val="21"/>
        </rPr>
        <t>함량</t>
      </r>
      <r>
        <rPr>
          <rFonts ascii="맑은 고딕" eastAsia="맑은 고딕" hAnsi="맑은 고딕" hint="eastAsia"/>
          <color val="1A2332"/>
          <sz val="21"/>
          <szCs val="21"/>
        </rPr>
        <t xml:space="preserve">, </t>
      </r>
      <r>
        <rPr>
          <rFonts ascii="맑은 고딕" eastAsia="맑은 고딕" hAnsi="맑은 고딕" hint="eastAsia"/>
          <color val="1A2332"/>
          <sz val="21"/>
          <szCs val="21"/>
        </rPr>
        <t>산업용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펠릿</t>
      </r>
      <r>
        <rPr>
          <rFonts ascii="맑은 고딕" eastAsia="맑은 고딕" hAnsi="맑은 고딕" hint="eastAsia"/>
          <color val="1A2332"/>
          <sz val="21"/>
          <szCs val="21"/>
        </rPr>
        <t xml:space="preserve"> I</t>
      </r>
      <r>
        <rPr>
          <rFonts ascii="맑은 고딕" eastAsia="맑은 고딕" hAnsi="맑은 고딕" hint="eastAsia"/>
          <color val="1A2332"/>
          <sz val="21"/>
          <szCs val="21"/>
        </rPr>
        <t>등급</t>
      </r>
      <r>
        <rPr>
          <rFonts ascii="맑은 고딕" eastAsia="맑은 고딕" hAnsi="맑은 고딕" hint="eastAsia"/>
          <color val="1A2332"/>
          <sz val="21"/>
          <szCs val="21"/>
        </rPr>
        <t>)</t>
      </r>
    </p>
    <p w14:paraId="2A605E62" w14:textId="77777777" rsidR="0011439B" rsidRDefault="0011439B">
      <pPr>
        <numPr>
          <ilvl val="0"/>
          <numId val="2"/>
        </numPr>
        <spacing before="100" beforeAutospacing="1" after="60"/>
        <ind left="1040"/>
        <rPr>
          <rFonts ascii="맑은 고딕" eastAsia="맑은 고딕" hAnsi="맑은 고딕" hint="eastAsia"/>
          <color val="1A2332"/>
          <sz val="21"/>
          <szCs val="21"/>
        </rPr>
      </pPr>
      <r>
        <rPr>
          <rFonts ascii="맑은 고딕" eastAsia="맑은 고딕" hAnsi="맑은 고딕" hint="eastAsia"/>
          <color val="1A2332"/>
          <sz val="21"/>
          <szCs val="21"/>
        </rPr>
        <t>예상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수량과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납기</t>
      </r>
    </p>
    <p w14:paraId="4E11A314" w14:textId="77777777" rsidR="0011439B" rsidRDefault="0011439B">
      <pPr>
        <numPr>
          <ilvl val="0"/>
          <numId val="2"/>
        </numPr>
        <spacing before="100" beforeAutospacing="1" after="60"/>
        <ind left="1040"/>
        <rPr>
          <rFonts ascii="맑은 고딕" eastAsia="맑은 고딕" hAnsi="맑은 고딕" hint="eastAsia"/>
          <color val="1A2332"/>
          <sz val="21"/>
          <szCs val="21"/>
        </rPr>
      </pPr>
      <r>
        <rPr>
          <rFonts ascii="맑은 고딕" eastAsia="맑은 고딕" hAnsi="맑은 고딕" hint="eastAsia"/>
          <color val="1A2332"/>
          <sz val="21"/>
          <szCs val="21"/>
        </rPr>
        <t>인도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항구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또는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국내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도착지</t>
      </r>
    </p>
    <p w14:paraId="15AA0910" w14:textId="77777777" rsidR="0011439B" rsidRDefault="0011439B">
      <pPr>
        <numPr>
          <ilvl val="0"/>
          <numId val="2"/>
        </numPr>
        <spacing before="100" beforeAutospacing="1" after="60"/>
        <ind left="1040"/>
        <rPr>
          <rFonts ascii="맑은 고딕" eastAsia="맑은 고딕" hAnsi="맑은 고딕" hint="eastAsia"/>
          <color val="1A2332"/>
          <sz val="21"/>
          <szCs val="21"/>
        </rPr>
      </pPr>
      <r>
        <rPr>
          <rFonts ascii="맑은 고딕" eastAsia="맑은 고딕" hAnsi="맑은 고딕" hint="eastAsia"/>
          <color val="1A2332"/>
          <sz val="21"/>
          <szCs val="21"/>
        </rPr>
        <t>필요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서류</t>
      </r>
      <r>
        <rPr>
          <rFonts ascii="맑은 고딕" eastAsia="맑은 고딕" hAnsi="맑은 고딕" hint="eastAsia"/>
          <color val="1A2332"/>
          <sz val="21"/>
          <szCs val="21"/>
        </rPr>
        <t xml:space="preserve"> (COA, SGS, </t>
      </r>
      <r>
        <rPr>
          <rFonts ascii="맑은 고딕" eastAsia="맑은 고딕" hAnsi="맑은 고딕" hint="eastAsia"/>
          <color val="1A2332"/>
          <sz val="21"/>
          <szCs val="21"/>
        </rPr>
        <t>원산지증명</t>
      </r>
      <r>
        <rPr>
          <rFonts ascii="맑은 고딕" eastAsia="맑은 고딕" hAnsi="맑은 고딕" hint="eastAsia"/>
          <color val="1A2332"/>
          <sz val="21"/>
          <szCs val="21"/>
        </rPr>
        <t xml:space="preserve"> </t>
      </r>
      <r>
        <rPr>
          <rFonts ascii="맑은 고딕" eastAsia="맑은 고딕" hAnsi="맑은 고딕" hint="eastAsia"/>
          <color val="1A2332"/>
          <sz val="21"/>
          <szCs val="21"/>
        </rPr>
        <t>등</t>
      </r>
      <r>
        <rPr>
          <rFonts ascii="맑은 고딕" eastAsia="맑은 고딕" hAnsi="맑은 고딕" hint="eastAsia"/>
          <color val="1A2332"/>
          <sz val="21"/>
          <szCs val="21"/>
        </rPr>
        <t>)</t>
      </r>
    </p>
    <p w14:paraId="372A79A3" w14:textId="77777777" rsidR="0011439B" rsidRDefault="0011439B">
      <pPr>
        <pStyle val="2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>연락처</t>
      </r>
    </p>
    <tbl>
      <tblPr>
        <tblW w="5000" type="pct"/>
        <tblCellMar>
          <top w="15" type="dxa"/>
          <left w="15" type="dxa"/>
          <bottom w="15" type="dxa"/>
          <right w="15" type="dxa"/>
        </tblCellMar>
        <tblLook val="04A0" firstRow="1" lastRow="0" firstColumn="1" lastColumn="0" noHBand="0" noVBand="1"/>
      </tblPr>
      <tblGrid>
        <gridCol w="2200"/>
        <gridCol w="6816"/>
      </tblGrid>
      <tr rsidR="00000000" w14:paraId="66773D34" w14:textId="77777777">
        <tc>
          <tcPr>
            <tcW w="2200" type="dxa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shd val="clear" color="auto" fill="0F1C32"/>
            <tcMar>
              <top w="120" type="dxa"/>
              <left w="160" type="dxa"/>
              <bottom w="120" type="dxa"/>
              <right w="160" type="dxa"/>
            </tcMar>
            <hideMark/>
          </tcPr>
          <p w14:paraId="73893F59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FFFFFF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담당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73503111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Kim Gun-Hwi, President &amp; CEO</t>
            </r>
          </p>
        </tc>
      </tr>
      <tr rsidR="00000000" w14:paraId="61796025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shd val="clear" color="auto" fill="0F1C32"/>
            <tcMar>
              <top w="120" type="dxa"/>
              <left w="160" type="dxa"/>
              <bottom w="120" type="dxa"/>
              <right w="160" type="dxa"/>
            </tcMar>
            <hideMark/>
          </tcPr>
          <p w14:paraId="0773E09E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FFFFFF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휴대폰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037CB005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010.8820.8131 · +62 811.850.8131</t>
            </r>
          </p>
        </tc>
      </tr>
      <tr rsidR="00000000" w14:paraId="636A9B8C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shd val="clear" color="auto" fill="0F1C32"/>
            <tcMar>
              <top w="120" type="dxa"/>
              <left w="160" type="dxa"/>
              <bottom w="120" type="dxa"/>
              <right w="160" type="dxa"/>
            </tcMar>
            <hideMark/>
          </tcPr>
          <p w14:paraId="086A4B5A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FFFFFF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이메일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70D9825A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nexcoapextelcom@gmail.com</t>
            </r>
          </p>
        </tc>
      </tr>
      <tr rsidR="00000000" w14:paraId="5676F7DD" w14:textId="77777777"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shd val="clear" color="auto" fill="0F1C32"/>
            <tcMar>
              <top w="120" type="dxa"/>
              <left w="160" type="dxa"/>
              <bottom w="120" type="dxa"/>
              <right w="160" type="dxa"/>
            </tcMar>
            <hideMark/>
          </tcPr>
          <p w14:paraId="0BDE3695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FFFFFF"/>
                <sz val="20"/>
                <szCs val="20"/>
              </rPr>
            </pPr>
            <r>
              <rPr>
                <rFonts ascii="맑은 고딕" eastAsia="맑은 고딕" hAnsi="맑은 고딕" hint="eastAsia"/>
                <b/>
                <bCs/>
                <color val="FFFFFF"/>
                <sz val="20"/>
                <szCs val="20"/>
              </rPr>
              <t>주소</t>
            </r>
          </p>
        </tc>
        <tc>
          <tcPr>
            <tcW w="0" type="auto"/>
            <tcBorders>
              <top val="single" sz="4" space="0" color="D5DBE3"/>
              <left val="single" sz="4" space="0" color="D5DBE3"/>
              <bottom val="single" sz="4" space="0" color="D5DBE3"/>
              <right val="single" sz="4" space="0" color="D5DBE3"/>
            </tcBorders>
            <tcMar>
              <top w="120" type="dxa"/>
              <left w="160" type="dxa"/>
              <bottom w="120" type="dxa"/>
              <right w="160" type="dxa"/>
            </tcMar>
            <hideMark/>
          </tcPr>
          <p w14:paraId="66E0BB1B" w14:textId="77777777" rsidR="0011439B" rsidRDefault="0011439B">
            <pPr>
              <spacing before="160" after="240"/>
              <rPr>
                <rFonts ascii="맑은 고딕" eastAsia="맑은 고딕" hAnsi="맑은 고딕" hint="eastAsia"/>
                <color val="1A2332"/>
                <sz val="20"/>
                <szCs val="20"/>
              </rPr>
            </pP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>The Prominence Office Tower, 10F Unit H, Jl. Jalur Sutera Barat, Pinang, Tangerang, Banten 151437-15, Tangerang hannae-ro 72beon-gil, Seo-gu, Tangerang, Republic of Korea</t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t xml:space="preserve"/>
            </r>
            <r>
              <rPr>
                <rFonts ascii="맑은 고딕" eastAsia="맑은 고딕" hAnsi="맑은 고딕" hint="eastAsia"/>
                <color val="1A2332"/>
                <sz val="20"/>
                <szCs val="20"/>
              </rPr>
              <br/>
              <t/>
            </r>
          </p>
        </tc>
      </tr>
    </tbl>
    <p w14:paraId="2D0FB932" w14:textId="77777777" rsidR="0011439B" rsidRDefault="0011439B">
      <pPr>
        <pStyle val="small"/>
        <spacing after="100" afterAutospacing="1"/>
        <rPr>
          <rFonts ascii="맑은 고딕" eastAsia="맑은 고딕" hAnsi="맑은 고딕" hint="eastAsia"/>
        </rPr>
      </pPr>
      <r>
        <rPr>
          <rFonts ascii="맑은 고딕" eastAsia="맑은 고딕" hAnsi="맑은 고딕" hint="eastAsia"/>
        </rPr>
        <t>본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소개서는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일반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안내입니다</t>
      </r>
      <r>
        <rPr>
          <rFonts ascii="맑은 고딕" eastAsia="맑은 고딕" hAnsi="맑은 고딕" hint="eastAsia"/>
        </rPr>
        <t xml:space="preserve">. </t>
      </r>
      <r>
        <rPr>
          <rFonts ascii="맑은 고딕" eastAsia="맑은 고딕" hAnsi="맑은 고딕" hint="eastAsia"/>
        </rPr>
        <t>가격·재고·선적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일정은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문의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시점의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오퍼와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검사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결과에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따릅니다</t>
      </r>
      <r>
        <rPr>
          <rFonts ascii="맑은 고딕" eastAsia="맑은 고딕" hAnsi="맑은 고딕" hint="eastAsia"/>
        </rPr>
        <t xml:space="preserve">. </t>
      </r>
      <r>
        <rPr>
          <rFonts ascii="맑은 고딕" eastAsia="맑은 고딕" hAnsi="맑은 고딕" hint="eastAsia"/>
        </rPr>
        <t>품목별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수출입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인허가는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계약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전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관세사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및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현지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규정으로</t>
      </r>
      <r>
        <rPr>
          <rFonts ascii="맑은 고딕" eastAsia="맑은 고딕" hAnsi="맑은 고딕" hint="eastAsia"/>
        </rPr>
        <t xml:space="preserve"> </t>
      </r>
      <r>
        <rPr>
          <rFonts ascii="맑은 고딕" eastAsia="맑은 고딕" hAnsi="맑은 고딕" hint="eastAsia"/>
        </rPr>
        <t>확인합니다</t>
      </r>
      <r>
        <rPr>
          <rFonts ascii="맑은 고딕" eastAsia="맑은 고딕" hAnsi="맑은 고딕" hint="eastAsia"/>
        </rPr>
        <t>.</t>
      </r>
    </p>
    <p w14:paraId="4F4079D2" w14:textId="77777777" rsidR="0011439B" rsidRDefault="0011439B">
      <pPr>
        <divId val="1571883546"/>
        <rPr>
          <rFonts ascii="맑은 고딕" eastAsia="맑은 고딕" hAnsi="맑은 고딕" hint="eastAsia"/>
          <color val="8A94A3"/>
          <sz val="17"/>
          <szCs val="17"/>
        </rPr>
      </pPr>
      <r>
        <rPr>
          <rFonts ascii="맑은 고딕" eastAsia="맑은 고딕" hAnsi="맑은 고딕" hint="eastAsia"/>
          <color val="8A94A3"/>
          <sz val="17"/>
          <szCs val="17"/>
        </rPr>
        <t>PT. APEX TELCOM INKO · Resources Division · Company Profile 2026 · www 문의는 홈페이지 견적 양식 또는 nexcoapextelcom@gmail.com </t>
      </r>
      <r>
        <rPr>
          <rFonts ascii="맑은 고딕" eastAsia="맑은 고딕" hAnsi="맑은 고딕" hint="eastAsia"/>
          <color val="8A94A3"/>
          <sz val="17"/>
          <szCs val="17"/>
        </rPr>
        <t xml:space="preserve"/>
      </r>
      <r>
        <rPr>
          <rFonts ascii="맑은 고딕" eastAsia="맑은 고딕" hAnsi="맑은 고딕" hint="eastAsia"/>
          <color val="8A94A3"/>
          <sz val="17"/>
          <szCs val="17"/>
        </rPr>
        <t/>
      </r>
      <r>
        <rPr>
          <rFonts ascii="맑은 고딕" eastAsia="맑은 고딕" hAnsi="맑은 고딕" hint="eastAsia"/>
          <color val="8A94A3"/>
          <sz val="17"/>
          <szCs val="17"/>
        </rPr>
        <t xml:space="preserve"/>
      </r>
      <r>
        <rPr>
          <rFonts ascii="맑은 고딕" eastAsia="맑은 고딕" hAnsi="맑은 고딕" hint="eastAsia"/>
          <color val="8A94A3"/>
          <sz val="17"/>
          <szCs val="17"/>
        </rPr>
        <t/>
      </r>
      <r>
        <rPr>
          <rFonts ascii="맑은 고딕" eastAsia="맑은 고딕" hAnsi="맑은 고딕" hint="eastAsia"/>
          <color val="8A94A3"/>
          <sz val="17"/>
          <szCs val="17"/>
        </rPr>
        <t xml:space="preserve"/>
      </r>
      <r>
        <rPr>
          <rFonts ascii="맑은 고딕" eastAsia="맑은 고딕" hAnsi="맑은 고딕" hint="eastAsia"/>
          <color val="8A94A3"/>
          <sz val="17"/>
          <szCs val="17"/>
        </rPr>
        <t/>
      </r>
      <r>
        <rPr>
          <rFonts ascii="맑은 고딕" eastAsia="맑은 고딕" hAnsi="맑은 고딕" hint="eastAsia"/>
          <color val="8A94A3"/>
          <sz val="17"/>
          <szCs val="17"/>
        </rPr>
        <t xml:space="preserve"/>
      </r>
      <r>
        <rPr>
          <rFonts ascii="맑은 고딕" eastAsia="맑은 고딕" hAnsi="맑은 고딕" hint="eastAsia"/>
          <color val="8A94A3"/>
          <sz val="17"/>
          <szCs val="17"/>
        </rPr>
        <t/>
      </r>
      <r>
        <rPr>
          <rFonts ascii="맑은 고딕" eastAsia="맑은 고딕" hAnsi="맑은 고딕" hint="eastAsia"/>
          <color val="8A94A3"/>
          <sz val="17"/>
          <szCs val="17"/>
        </rPr>
        <t xml:space="preserve"/>
      </r>
      <r>
        <rPr>
          <rFonts ascii="맑은 고딕" eastAsia="맑은 고딕" hAnsi="맑은 고딕" hint="eastAsia"/>
          <color val="8A94A3"/>
          <sz val="17"/>
          <szCs val="17"/>
        </rPr>
        <t/>
      </r>
      <r>
        <rPr>
          <rFonts ascii="맑은 고딕" eastAsia="맑은 고딕" hAnsi="맑은 고딕" hint="eastAsia"/>
          <color val="8A94A3"/>
          <sz val="17"/>
          <szCs val="17"/>
        </rPr>
        <t xml:space="preserve"/>
      </r>
      <r>
        <rPr>
          <rFonts ascii="맑은 고딕" eastAsia="맑은 고딕" hAnsi="맑은 고딕" hint="eastAsia"/>
          <color val="8A94A3"/>
          <sz val="17"/>
          <szCs val="17"/>
        </rPr>
        <t/>
      </r>
      <r>
        <rPr>
          <rFonts ascii="맑은 고딕" eastAsia="맑은 고딕" hAnsi="맑은 고딕" hint="eastAsia"/>
          <color val="8A94A3"/>
          <sz val="17"/>
          <szCs val="17"/>
        </rPr>
        <t xml:space="preserve"/>
      </r>
      <r>
        <rPr>
          <rFonts ascii="맑은 고딕" eastAsia="맑은 고딕" hAnsi="맑은 고딕" hint="eastAsia"/>
          <color val="8A94A3"/>
          <sz val="17"/>
          <szCs val="17"/>
        </rPr>
        <t/>
      </r>
      <r>
        <rPr>
          <rFonts ascii="맑은 고딕" eastAsia="맑은 고딕" hAnsi="맑은 고딕" hint="eastAsia"/>
          <color val="8A94A3"/>
          <sz val="17"/>
          <szCs val="17"/>
        </rPr>
        <t xml:space="preserve"/>
      </r>
      <r>
        <rPr>
          <rFonts ascii="맑은 고딕" eastAsia="맑은 고딕" hAnsi="맑은 고딕" hint="eastAsia"/>
          <color val="8A94A3"/>
          <sz val="17"/>
          <szCs val="17"/>
        </rPr>
        <t/>
      </r>
      <r>
        <rPr>
          <rFonts ascii="맑은 고딕" eastAsia="맑은 고딕" hAnsi="맑은 고딕" hint="eastAsia"/>
          <color val="8A94A3"/>
          <sz val="17"/>
          <szCs val="17"/>
        </rPr>
        <t xml:space="preserve"/>
      </r>
    </p>
    <sectPr rsidR="0011439B">
      <pgSz w="11906" h="16838"/>
      <pgMar top="1701" right="1440" bottom="1440" left="1440" header="851" footer="992" gutter="0"/>
      <cols space="425"/>
      <docGrid linePitch="360"/>
    </sectPr>
  </body>
</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EDAD0" w14:textId="77777777" w:rsidR="0011439B" w:rsidRDefault="0011439B" w:rsidP="00626DD2">
      <w:r>
        <w:separator/>
      </w:r>
    </w:p>
  </w:endnote>
  <w:endnote w:type="continuationSeparator" w:id="0">
    <w:p w14:paraId="6F4CF150" w14:textId="77777777" w:rsidR="0011439B" w:rsidRDefault="0011439B" w:rsidP="00626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0EC62" w14:textId="77777777" w:rsidR="0011439B" w:rsidRDefault="0011439B" w:rsidP="00626DD2">
      <w:r>
        <w:separator/>
      </w:r>
    </w:p>
  </w:footnote>
  <w:footnote w:type="continuationSeparator" w:id="0">
    <w:p w14:paraId="530995A8" w14:textId="77777777" w:rsidR="0011439B" w:rsidRDefault="0011439B" w:rsidP="00626D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4B46"/>
    <w:multiLevelType w:val="multilevel"/>
    <w:tmpl w:val="E448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EB180B"/>
    <w:multiLevelType w:val="multilevel"/>
    <w:tmpl w:val="1FF8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547013">
    <w:abstractNumId w:val="0"/>
  </w:num>
  <w:num w:numId="2" w16cid:durableId="543056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DD2"/>
    <w:rsid w:val="0011439B"/>
    <w:rsid w:val="00626DD2"/>
    <w:rsid w:val="00E0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E8BC3D"/>
  <w15:chartTrackingRefBased/>
  <w15:docId w15:val="{CDF97FD3-3F19-477D-BF8C-C058CDF67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after="120"/>
      <w:outlineLvl w:val="0"/>
    </w:pPr>
    <w:rPr>
      <w:b/>
      <w:bCs/>
      <w:color w:val="0F1C32"/>
      <w:spacing w:val="-8"/>
      <w:kern w:val="36"/>
      <w:sz w:val="52"/>
      <w:szCs w:val="52"/>
    </w:rPr>
  </w:style>
  <w:style w:type="paragraph" w:styleId="2">
    <w:name w:val="heading 2"/>
    <w:basedOn w:val="a"/>
    <w:link w:val="2Char"/>
    <w:uiPriority w:val="9"/>
    <w:qFormat/>
    <w:pPr>
      <w:pBdr>
        <w:bottom w:val="single" w:sz="12" w:space="4" w:color="0F1C32"/>
      </w:pBdr>
      <w:spacing w:before="360" w:after="200"/>
      <w:outlineLvl w:val="1"/>
    </w:pPr>
    <w:rPr>
      <w:b/>
      <w:bCs/>
      <w:color w:val="0F1C32"/>
      <w:sz w:val="28"/>
      <w:szCs w:val="28"/>
    </w:rPr>
  </w:style>
  <w:style w:type="paragraph" w:styleId="3">
    <w:name w:val="heading 3"/>
    <w:basedOn w:val="a"/>
    <w:link w:val="3Char"/>
    <w:uiPriority w:val="9"/>
    <w:qFormat/>
    <w:pPr>
      <w:spacing w:before="240" w:after="80"/>
      <w:outlineLvl w:val="2"/>
    </w:pPr>
    <w:rPr>
      <w:b/>
      <w:bCs/>
      <w:color w:val="17304F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gold">
    <w:name w:val="gold"/>
    <w:basedOn w:val="a"/>
    <w:pPr>
      <w:spacing w:before="100" w:beforeAutospacing="1" w:after="60"/>
    </w:pPr>
    <w:rPr>
      <w:color w:val="B8955A"/>
    </w:rPr>
  </w:style>
  <w:style w:type="paragraph" w:customStyle="1" w:styleId="muted">
    <w:name w:val="muted"/>
    <w:basedOn w:val="a"/>
    <w:pPr>
      <w:spacing w:before="100" w:beforeAutospacing="1" w:after="60"/>
    </w:pPr>
    <w:rPr>
      <w:color w:val="5C6778"/>
    </w:rPr>
  </w:style>
  <w:style w:type="paragraph" w:customStyle="1" w:styleId="small">
    <w:name w:val="small"/>
    <w:basedOn w:val="a"/>
    <w:pPr>
      <w:spacing w:before="100" w:beforeAutospacing="1" w:after="60"/>
    </w:pPr>
    <w:rPr>
      <w:color w:val="5C6778"/>
      <w:sz w:val="18"/>
      <w:szCs w:val="18"/>
    </w:rPr>
  </w:style>
  <w:style w:type="paragraph" w:customStyle="1" w:styleId="cover">
    <w:name w:val="cover"/>
    <w:basedOn w:val="a"/>
    <w:pPr>
      <w:shd w:val="clear" w:color="auto" w:fill="0F1C32"/>
      <w:spacing w:before="100" w:beforeAutospacing="1" w:after="60"/>
    </w:pPr>
    <w:rPr>
      <w:color w:val="F4EFE6"/>
    </w:rPr>
  </w:style>
  <w:style w:type="paragraph" w:customStyle="1" w:styleId="num">
    <w:name w:val="num"/>
    <w:basedOn w:val="a"/>
    <w:pPr>
      <w:spacing w:before="100" w:beforeAutospacing="1" w:after="60"/>
    </w:pPr>
    <w:rPr>
      <w:b/>
      <w:bCs/>
      <w:color w:val="B8955A"/>
    </w:rPr>
  </w:style>
  <w:style w:type="paragraph" w:customStyle="1" w:styleId="box">
    <w:name w:val="box"/>
    <w:basedOn w:val="a"/>
    <w:pPr>
      <w:pBdr>
        <w:left w:val="single" w:sz="36" w:space="12" w:color="B8955A"/>
      </w:pBdr>
      <w:shd w:val="clear" w:color="auto" w:fill="F7F2E8"/>
      <w:spacing w:before="200" w:after="280"/>
    </w:pPr>
  </w:style>
  <w:style w:type="paragraph" w:customStyle="1" w:styleId="page">
    <w:name w:val="page"/>
    <w:basedOn w:val="a"/>
    <w:pPr>
      <w:pageBreakBefore/>
      <w:spacing w:before="100" w:beforeAutospacing="1" w:after="60"/>
    </w:pPr>
  </w:style>
  <w:style w:type="paragraph" w:customStyle="1" w:styleId="kicker">
    <w:name w:val="kicker"/>
    <w:basedOn w:val="a"/>
    <w:pPr>
      <w:spacing w:before="100" w:beforeAutospacing="1" w:after="80"/>
    </w:pPr>
    <w:rPr>
      <w:caps/>
      <w:color w:val="B8955A"/>
      <w:spacing w:val="32"/>
      <w:sz w:val="18"/>
      <w:szCs w:val="18"/>
    </w:rPr>
  </w:style>
  <w:style w:type="paragraph" w:customStyle="1" w:styleId="footer">
    <w:name w:val="footer"/>
    <w:basedOn w:val="a"/>
    <w:pPr>
      <w:pBdr>
        <w:top w:val="single" w:sz="6" w:space="6" w:color="D5DBE3"/>
      </w:pBdr>
      <w:spacing w:before="320" w:after="60"/>
    </w:pPr>
    <w:rPr>
      <w:color w:val="8A94A3"/>
      <w:sz w:val="17"/>
      <w:szCs w:val="17"/>
    </w:rPr>
  </w:style>
  <w:style w:type="paragraph" w:customStyle="1" w:styleId="tag">
    <w:name w:val="tag"/>
    <w:basedOn w:val="a"/>
    <w:pPr>
      <w:spacing w:before="100" w:beforeAutospacing="1" w:after="60"/>
    </w:pPr>
  </w:style>
  <w:style w:type="paragraph" w:customStyle="1" w:styleId="lead">
    <w:name w:val="lead"/>
    <w:basedOn w:val="a"/>
    <w:pPr>
      <w:spacing w:before="100" w:beforeAutospacing="1" w:after="60"/>
    </w:pPr>
  </w:style>
  <w:style w:type="paragraph" w:customStyle="1" w:styleId="meta">
    <w:name w:val="meta"/>
    <w:basedOn w:val="a"/>
    <w:pPr>
      <w:spacing w:before="100" w:beforeAutospacing="1" w:after="60"/>
    </w:pPr>
  </w:style>
  <w:style w:type="paragraph" w:customStyle="1" w:styleId="tag1">
    <w:name w:val="tag1"/>
    <w:basedOn w:val="a"/>
    <w:pPr>
      <w:spacing w:before="100" w:beforeAutospacing="1" w:after="280"/>
    </w:pPr>
    <w:rPr>
      <w:caps/>
      <w:color w:val="C9AB74"/>
      <w:spacing w:val="40"/>
      <w:sz w:val="20"/>
      <w:szCs w:val="20"/>
    </w:rPr>
  </w:style>
  <w:style w:type="paragraph" w:customStyle="1" w:styleId="lead1">
    <w:name w:val="lead1"/>
    <w:basedOn w:val="a"/>
    <w:pPr>
      <w:spacing w:before="100" w:beforeAutospacing="1" w:after="100" w:afterAutospacing="1"/>
    </w:pPr>
    <w:rPr>
      <w:color w:val="E8E2D6"/>
    </w:rPr>
  </w:style>
  <w:style w:type="paragraph" w:customStyle="1" w:styleId="meta1">
    <w:name w:val="meta1"/>
    <w:basedOn w:val="a"/>
    <w:pPr>
      <w:spacing w:before="440" w:after="100" w:afterAutospacing="1"/>
    </w:pPr>
    <w:rPr>
      <w:color w:val="C9AB74"/>
      <w:sz w:val="19"/>
      <w:szCs w:val="19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Char"/>
    <w:uiPriority w:val="99"/>
    <w:unhideWhenUsed/>
    <w:rsid w:val="00626DD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626DD2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626DD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626DD2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883546">
      <w:marLeft w:val="0"/>
      <w:marRight w:val="0"/>
      <w:marTop w:val="320"/>
      <w:marBottom w:val="0"/>
      <w:divBdr>
        <w:top w:val="single" w:sz="6" w:space="6" w:color="D5DBE3"/>
        <w:left w:val="none" w:sz="0" w:space="0" w:color="auto"/>
        <w:bottom w:val="none" w:sz="0" w:space="0" w:color="auto"/>
        <w:right w:val="none" w:sz="0" w:space="0" w:color="auto"/>
      </w:divBdr>
    </w:div>
    <w:div w:id="1685132544">
      <w:marLeft w:val="0"/>
      <w:marRight w:val="0"/>
      <w:marTop w:val="200"/>
      <w:marBottom w:val="280"/>
      <w:divBdr>
        <w:top w:val="none" w:sz="0" w:space="0" w:color="auto"/>
        <w:left w:val="single" w:sz="36" w:space="12" w:color="B8955A"/>
        <w:bottom w:val="none" w:sz="0" w:space="0" w:color="auto"/>
        <w:right w:val="none" w:sz="0" w:space="0" w:color="auto"/>
      </w:divBdr>
    </w:div>
    <w:div w:id="1801806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428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 M&amp;C Company Profile — Resources</dc:title>
  <dc:subject/>
  <dc:creator>준 한</dc:creator>
  <cp:keywords/>
  <dc:description/>
  <cp:lastModifiedBy>준 한</cp:lastModifiedBy>
  <cp:revision>2</cp:revision>
  <cp:lastPrinted>2026-08-20T03:22:00Z</cp:lastPrinted>
  <dcterms:created xsi:type="dcterms:W3CDTF">2026-08-20T03:22:00Z</dcterms:created>
  <dcterms:modified xsi:type="dcterms:W3CDTF">2026-08-20T03:22:00Z</dcterms:modified>
</cp:coreProperties>
</file>