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3A5C"/>
          <w:sz w:val="32"/>
        </w:rPr>
        <w:t>Securing IoT Medical Devices Against Unauthorised Access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2"/>
        </w:rPr>
        <w:t>Instructor Author¹*, Demo Researcher²</w:t>
      </w:r>
    </w:p>
    <w:p>
      <w:pPr>
        <w:spacing w:after="40"/>
        <w:jc w:val="center"/>
      </w:pPr>
      <w:r>
        <w:rPr>
          <w:rFonts w:ascii="Times New Roman" w:hAnsi="Times New Roman"/>
          <w:sz w:val="22"/>
        </w:rPr>
        <w:t>¹ Training Institute, 123 Learning Road, Kuwait City, Kuwait; instructor@example.com</w:t>
      </w:r>
    </w:p>
    <w:p>
      <w:pPr>
        <w:spacing w:after="40"/>
        <w:jc w:val="center"/>
      </w:pPr>
      <w:r>
        <w:rPr>
          <w:rFonts w:ascii="Times New Roman" w:hAnsi="Times New Roman"/>
          <w:sz w:val="22"/>
        </w:rPr>
        <w:t>² Accessibility Lab, 45 Innovation Avenue, Kuwait City, Kuwait; demo@example.com</w:t>
      </w:r>
    </w:p>
    <w:p>
      <w:pPr>
        <w:jc w:val="center"/>
      </w:pPr>
      <w:r>
        <w:rPr>
          <w:rFonts w:ascii="Times New Roman" w:hAnsi="Times New Roman"/>
          <w:sz w:val="22"/>
        </w:rPr>
        <w:t>* Correspondence: instructor@example.com</w:t>
      </w:r>
    </w:p>
    <w:p>
      <w:pPr>
        <w:pStyle w:val="Heading1"/>
      </w:pPr>
      <w:r>
        <w:rPr>
          <w:color w:val="1A3A5C"/>
        </w:rPr>
        <w:t>Abstract</w:t>
      </w:r>
    </w:p>
    <w:p>
      <w:pPr>
        <w:spacing w:after="120" w:before="40"/>
      </w:pPr>
      <w:r>
        <w:t>Note: This is a fake research paper generated as a hands-on exercise for practising academic typesetting using Overleaf with standard journal templates. Internet-of-Things (IoT) medical devices such as insulin pumps and pacemakers are increasingly connected to hospital networks, exposing them to cyber attacks. This paper proposes MedShield, a lightweight intrusion detection system (IDS) tailored for resource-constrained medical IoT devices. Evaluation on a testbed of 12 device types achieves 96.7% attack detection rate with a false alarm rate of 1.8%.</w:t>
      </w:r>
    </w:p>
    <w:p>
      <w:pPr>
        <w:spacing w:after="160"/>
      </w:pPr>
      <w:r>
        <w:rPr>
          <w:b/>
          <w:sz w:val="20"/>
        </w:rPr>
        <w:t xml:space="preserve">Keywords: </w:t>
      </w:r>
      <w:r>
        <w:rPr>
          <w:sz w:val="20"/>
        </w:rPr>
        <w:t>IoT security, medical devices, firmware security, intrusion detection, healthcare</w:t>
      </w:r>
    </w:p>
    <w:p>
      <w:pPr>
        <w:pStyle w:val="Heading1"/>
      </w:pPr>
      <w:r>
        <w:rPr>
          <w:color w:val="1A3A5C"/>
        </w:rPr>
        <w:t>1.  Introduction</w:t>
      </w:r>
    </w:p>
    <w:p>
      <w:pPr>
        <w:spacing w:after="120" w:before="40"/>
      </w:pPr>
      <w:r>
        <w:t>The proliferation of connected medical devices has transformed patient care but introduced critical security vulnerabilities [Martin &amp; Clark, 2022]. High-profile incidents, including the recall of 465,000 pacemakers due to cybersecurity flaws, underscore the life-safety implications of IoT medical device security [Taylor &amp; Brown, 2023]. MedShield addresses this by deploying a behaviour-based IDS directly on the device. The paper is organised as follows: Section 2 reviews related work; Section 3 describes MedShield; Section 4 reports results; Section 5 concludes.</w:t>
      </w:r>
    </w:p>
    <w:p>
      <w:pPr>
        <w:pStyle w:val="Heading1"/>
      </w:pPr>
      <w:r>
        <w:rPr>
          <w:color w:val="1A3A5C"/>
        </w:rPr>
        <w:t>2.  Related Work</w:t>
      </w:r>
    </w:p>
    <w:p>
      <w:pPr>
        <w:pStyle w:val="Heading2"/>
      </w:pPr>
      <w:r>
        <w:rPr>
          <w:color w:val="1A3A5C"/>
        </w:rPr>
        <w:t>2.1  Prior Studies</w:t>
      </w:r>
    </w:p>
    <w:p>
      <w:pPr>
        <w:spacing w:after="120" w:before="40"/>
      </w:pPr>
      <w:r>
        <w:t>Taylor and Brown [Taylor &amp; Brown, 2023] surveyed 200 medical IoT devices and found that 73% used outdated firmware with known vulnerabilities. Martin and Clark [Martin &amp; Clark, 2022] demonstrated a proof-of-concept attack on a commercial insulin pump, altering dosage commands via Bluetooth.</w:t>
      </w:r>
    </w:p>
    <w:p>
      <w:pPr>
        <w:pStyle w:val="Heading2"/>
      </w:pPr>
      <w:r>
        <w:rPr>
          <w:color w:val="1A3A5C"/>
        </w:rPr>
        <w:t>2.2  Research Gaps</w:t>
      </w:r>
    </w:p>
    <w:p>
      <w:pPr>
        <w:spacing w:after="120" w:before="40"/>
      </w:pPr>
      <w:r>
        <w:t>Existing IDS solutions for IoT devices are typically too resource-intensive for medical devices with limited CPU and memory [Bormann et al., 2014]. MedShield uses a compact decision-tree model (under 50 KB) that runs within the constraints of ARM Cortex-M microcontrollers.</w:t>
      </w:r>
    </w:p>
    <w:p>
      <w:pPr>
        <w:pStyle w:val="Heading1"/>
      </w:pPr>
      <w:r>
        <w:rPr>
          <w:color w:val="1A3A5C"/>
        </w:rPr>
        <w:t>3.  Methodology</w:t>
      </w:r>
    </w:p>
    <w:p>
      <w:pPr>
        <w:pStyle w:val="Heading2"/>
      </w:pPr>
      <w:r>
        <w:rPr>
          <w:color w:val="1A3A5C"/>
        </w:rPr>
        <w:t>3.1  System Overview</w:t>
      </w:r>
    </w:p>
    <w:p>
      <w:pPr>
        <w:spacing w:after="120" w:before="40"/>
      </w:pPr>
      <w:r>
        <w:t>MedShield consists of three components: (1) a Network Traffic Monitor, (2) a Behaviour Profiler, and (3) a Lightweight IDS Engine. Figure 1 shows the deployment architecture.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393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93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1: System Architecture and Processing Pipeline</w:t>
      </w:r>
    </w:p>
    <w:p>
      <w:pPr>
        <w:pStyle w:val="Heading2"/>
      </w:pPr>
      <w:r>
        <w:rPr>
          <w:color w:val="1A3A5C"/>
        </w:rPr>
        <w:t>3.2  Component A</w:t>
      </w:r>
    </w:p>
    <w:p>
      <w:pPr>
        <w:spacing w:after="120" w:before="40"/>
      </w:pPr>
      <w:r>
        <w:t>The Network Traffic Monitor captures packet headers at the device's wireless interface, extracting 22 features including inter-arrival time, packet size, and protocol type. Feature extraction runs in under 0.3 ms per packet.</w:t>
      </w:r>
    </w:p>
    <w:p>
      <w:pPr>
        <w:pStyle w:val="Heading2"/>
      </w:pPr>
      <w:r>
        <w:rPr>
          <w:color w:val="1A3A5C"/>
        </w:rPr>
        <w:t>3.3  Component B</w:t>
      </w:r>
    </w:p>
    <w:p>
      <w:pPr>
        <w:spacing w:after="120" w:before="40"/>
      </w:pPr>
      <w:r>
        <w:t>The Behaviour Profiler builds a statistical baseline of normal device operation over a 7-day learning period. Anomalies are flagged when observed behaviour deviates beyond 3 standard deviations from the baseline.</w:t>
      </w:r>
    </w:p>
    <w:p>
      <w:pPr>
        <w:pStyle w:val="Heading2"/>
      </w:pPr>
      <w:r>
        <w:rPr>
          <w:color w:val="1A3A5C"/>
        </w:rPr>
        <w:t>3.4  Component C</w:t>
      </w:r>
    </w:p>
    <w:p>
      <w:pPr>
        <w:spacing w:after="120" w:before="40"/>
      </w:pPr>
      <w:r>
        <w:t>The Lightweight IDS Engine uses a pruned decision tree (depth = 8) trained on the CICIDS-2018 dataset augmented with medical device traffic traces. The model occupies 47 KB of flash memory and 12 KB of RAM.</w:t>
      </w:r>
    </w:p>
    <w:p>
      <w:pPr>
        <w:pStyle w:val="Heading1"/>
      </w:pPr>
      <w:r>
        <w:rPr>
          <w:b w:val="0"/>
          <w:i w:val="0"/>
        </w:rPr>
        <w:t>3.5  Simple Equation for Anomaly Score</w:t>
      </w:r>
    </w:p>
    <w:p>
      <w:pPr/>
      <w:r>
        <w:rPr>
          <w:b w:val="0"/>
          <w:i w:val="0"/>
        </w:rPr>
        <w:t>The anomaly score is calculated by comparing the current traffic value with the normal baseline value:</w:t>
      </w:r>
    </w:p>
    <w:p>
      <w:pPr>
        <w:jc w:val="center"/>
      </w:pPr>
      <w:r>
        <w:rPr>
          <w:rFonts w:ascii="Cambria Math" w:hAnsi="Cambria Math"/>
          <w:b w:val="0"/>
          <w:i/>
        </w:rPr>
        <w:t>Anomaly Score = |Current Value - Baseline Mean| / Baseline Standard Deviation          (1)</w:t>
      </w:r>
    </w:p>
    <w:p>
      <w:pPr/>
      <w:r>
        <w:rPr>
          <w:b w:val="0"/>
          <w:i w:val="0"/>
        </w:rPr>
        <w:t>As shown in Equation (1), a larger anomaly score indicates traffic behaviour that is farther from the normal medical device baseline.</w:t>
      </w:r>
    </w:p>
    <w:p>
      <w:pPr/>
    </w:p>
    <w:p>
      <w:pPr>
        <w:pStyle w:val="Heading1"/>
      </w:pPr>
      <w:r>
        <w:rPr>
          <w:color w:val="1A3A5C"/>
        </w:rPr>
        <w:t>4.  Experimental Setup</w:t>
      </w:r>
    </w:p>
    <w:p>
      <w:pPr>
        <w:pStyle w:val="Heading2"/>
      </w:pPr>
      <w:r>
        <w:rPr>
          <w:color w:val="1A3A5C"/>
        </w:rPr>
        <w:t>4.1  Dataset and Evaluation Metrics</w:t>
      </w:r>
    </w:p>
    <w:p>
      <w:pPr>
        <w:spacing w:after="120" w:before="40"/>
      </w:pPr>
      <w:r>
        <w:t>Experiments were conducted on publicly available benchmark datasets. Standard evaluation metrics including accuracy, precision, recall, and F1-score were computed. All experiments were repeated five times and mean values are reported. The following evaluation criteria were applied:</w:t>
      </w:r>
    </w:p>
    <w:p>
      <w:pPr>
        <w:pStyle w:val="ListBullet"/>
        <w:spacing w:after="40"/>
      </w:pPr>
      <w:r>
        <w:rPr>
          <w:sz w:val="20"/>
        </w:rPr>
        <w:t>Medical IoT device categories included in the testbed</w:t>
      </w:r>
    </w:p>
    <w:p>
      <w:pPr>
        <w:pStyle w:val="ListBullet2"/>
        <w:spacing w:after="40"/>
      </w:pPr>
      <w:r>
        <w:rPr>
          <w:sz w:val="20"/>
        </w:rPr>
        <w:t>Implantable devices: pacemakers and insulin pumps (simulated)</w:t>
      </w:r>
    </w:p>
    <w:p>
      <w:pPr>
        <w:pStyle w:val="ListBullet2"/>
        <w:spacing w:after="40"/>
      </w:pPr>
      <w:r>
        <w:rPr>
          <w:sz w:val="20"/>
        </w:rPr>
        <w:t>Wearable monitors: continuous glucose monitors and ECG patches</w:t>
      </w:r>
    </w:p>
    <w:p>
      <w:pPr>
        <w:pStyle w:val="ListBullet2"/>
        <w:spacing w:after="40"/>
      </w:pPr>
      <w:r>
        <w:rPr>
          <w:sz w:val="20"/>
        </w:rPr>
        <w:t>Networked infusion pumps and ventilator controllers</w:t>
      </w:r>
    </w:p>
    <w:p>
      <w:pPr>
        <w:pStyle w:val="ListBullet"/>
        <w:spacing w:after="40"/>
      </w:pPr>
      <w:r>
        <w:rPr>
          <w:sz w:val="20"/>
        </w:rPr>
        <w:t>Attack types evaluated against MedShield</w:t>
      </w:r>
    </w:p>
    <w:p>
      <w:pPr>
        <w:pStyle w:val="ListBullet2"/>
        <w:spacing w:after="40"/>
      </w:pPr>
      <w:r>
        <w:rPr>
          <w:sz w:val="20"/>
        </w:rPr>
        <w:t>Replay attacks: retransmitting captured legitimate packets</w:t>
      </w:r>
    </w:p>
    <w:p>
      <w:pPr>
        <w:pStyle w:val="ListBullet2"/>
        <w:spacing w:after="40"/>
      </w:pPr>
      <w:r>
        <w:rPr>
          <w:sz w:val="20"/>
        </w:rPr>
        <w:t>Command injection: inserting malicious control commands via Bluetooth</w:t>
      </w:r>
    </w:p>
    <w:p>
      <w:pPr>
        <w:pStyle w:val="ListBullet2"/>
        <w:spacing w:after="40"/>
      </w:pPr>
      <w:r>
        <w:rPr>
          <w:sz w:val="20"/>
        </w:rPr>
        <w:t>Denial-of-service: flooding the device wireless interface</w:t>
      </w:r>
    </w:p>
    <w:p>
      <w:pPr>
        <w:spacing w:after="80"/>
      </w:pPr>
    </w:p>
    <w:p>
      <w:pPr>
        <w:pStyle w:val="Heading2"/>
      </w:pPr>
      <w:r>
        <w:rPr>
          <w:color w:val="1A3A5C"/>
        </w:rPr>
        <w:t>4.2  Baseline Systems</w:t>
      </w:r>
    </w:p>
    <w:p>
      <w:pPr>
        <w:spacing w:after="120" w:before="40"/>
      </w:pPr>
      <w:r>
        <w:t>Three baseline systems were selected for comparison based on their prominence in recent literature. Hyperparameters for all baselines were tuned using the same validation set to ensure a fair comparison. The experimental procedure followed these steps:</w:t>
      </w:r>
    </w:p>
    <w:p>
      <w:pPr>
        <w:pStyle w:val="ListNumber"/>
        <w:spacing w:after="40"/>
      </w:pPr>
      <w:r>
        <w:rPr>
          <w:sz w:val="20"/>
        </w:rPr>
        <w:t>Deploy MedShield firmware on all 12 device types in the testbed.</w:t>
      </w:r>
    </w:p>
    <w:p>
      <w:pPr>
        <w:pStyle w:val="ListNumber"/>
        <w:spacing w:after="40"/>
      </w:pPr>
      <w:r>
        <w:rPr>
          <w:sz w:val="20"/>
        </w:rPr>
        <w:t>Allow the Behaviour Profiler a 7-day learning period under normal operation.</w:t>
      </w:r>
    </w:p>
    <w:p>
      <w:pPr>
        <w:pStyle w:val="ListNumber"/>
        <w:spacing w:after="40"/>
      </w:pPr>
      <w:r>
        <w:rPr>
          <w:sz w:val="20"/>
        </w:rPr>
        <w:t>Execute each of the three attack types 100 times per device category.</w:t>
      </w:r>
    </w:p>
    <w:p>
      <w:pPr>
        <w:pStyle w:val="ListNumber"/>
        <w:spacing w:after="40"/>
      </w:pPr>
      <w:r>
        <w:rPr>
          <w:sz w:val="20"/>
        </w:rPr>
        <w:t>Record detection rate, false alarm rate, and CPU/memory consumption.</w:t>
      </w:r>
    </w:p>
    <w:p>
      <w:pPr>
        <w:pStyle w:val="ListNumber"/>
        <w:spacing w:after="40"/>
      </w:pPr>
      <w:r>
        <w:rPr>
          <w:sz w:val="20"/>
        </w:rPr>
        <w:t>Compare results against signature-based and anomaly-based baseline IDS.</w:t>
      </w:r>
    </w:p>
    <w:p>
      <w:pPr>
        <w:pStyle w:val="ListNumber"/>
        <w:spacing w:after="40"/>
      </w:pPr>
      <w:r>
        <w:rPr>
          <w:sz w:val="20"/>
        </w:rPr>
        <w:t>Validate that MedShield does not interfere with normal device operation.</w:t>
      </w:r>
    </w:p>
    <w:p>
      <w:pPr>
        <w:spacing w:after="80"/>
      </w:pPr>
    </w:p>
    <w:p>
      <w:pPr>
        <w:pStyle w:val="Heading1"/>
      </w:pPr>
      <w:r>
        <w:rPr>
          <w:color w:val="1A3A5C"/>
        </w:rPr>
        <w:t>5.  Results and Discussion</w:t>
      </w:r>
    </w:p>
    <w:p>
      <w:pPr>
        <w:pStyle w:val="Heading2"/>
      </w:pPr>
      <w:r>
        <w:rPr>
          <w:color w:val="1A3A5C"/>
        </w:rPr>
        <w:t>5.1  Quantitative Results</w:t>
      </w:r>
    </w:p>
    <w:p>
      <w:pPr>
        <w:spacing w:after="120" w:before="40"/>
      </w:pPr>
      <w:r>
        <w:t>Table 1 and Figure 2 compare MedShield against signature-based and anomaly-based baselines. MedShield achieves 96.7% detection rate and 1.8% false alarm rate, while consuming only 3.2% of the device CPU [Taylor &amp; Brown, 2023].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053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5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Figure 2: Performance Comparison Against Baselines</w:t>
      </w:r>
    </w:p>
    <w:p>
      <w:pPr>
        <w:spacing w:after="80"/>
        <w:jc w:val="center"/>
      </w:pPr>
      <w:r>
        <w:rPr>
          <w:b/>
          <w:sz w:val="20"/>
        </w:rPr>
        <w:t>Table 1: Quantitative Comparison of the Proposed System Against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A5C"/>
          </w:tcPr>
          <w:p>
            <w:r/>
            <w:r>
              <w:rPr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2160"/>
            <w:shd w:val="clear" w:color="auto" w:fill="1A3A5C"/>
          </w:tcPr>
          <w:p>
            <w:r/>
            <w:r>
              <w:rPr>
                <w:b/>
                <w:color w:val="FFFFFF"/>
                <w:sz w:val="20"/>
              </w:rPr>
              <w:t>Detection Rate</w:t>
            </w:r>
          </w:p>
        </w:tc>
        <w:tc>
          <w:tcPr>
            <w:tcW w:type="dxa" w:w="2160"/>
            <w:shd w:val="clear" w:color="auto" w:fill="1A3A5C"/>
          </w:tcPr>
          <w:p>
            <w:r/>
            <w:r>
              <w:rPr>
                <w:b/>
                <w:color w:val="FFFFFF"/>
                <w:sz w:val="20"/>
              </w:rPr>
              <w:t>False Alarm Rate</w:t>
            </w:r>
          </w:p>
        </w:tc>
        <w:tc>
          <w:tcPr>
            <w:tcW w:type="dxa" w:w="2160"/>
            <w:shd w:val="clear" w:color="auto" w:fill="1A3A5C"/>
          </w:tcPr>
          <w:p>
            <w:r/>
            <w:r>
              <w:rPr>
                <w:b/>
                <w:color w:val="FFFFFF"/>
                <w:sz w:val="20"/>
              </w:rPr>
              <w:t>CPU Usage</w:t>
            </w:r>
          </w:p>
        </w:tc>
      </w:tr>
      <w:tr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Signature-Based IDS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81.2%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12.4%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8.1%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Anomaly-Based IDS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88.5%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6.8%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5.4%</w:t>
            </w:r>
          </w:p>
        </w:tc>
      </w:tr>
      <w:tr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MedShield (Ours)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96.7%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1.8%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3.2%</w:t>
            </w:r>
          </w:p>
        </w:tc>
      </w:tr>
    </w:tbl>
    <w:p/>
    <w:p>
      <w:pPr>
        <w:pStyle w:val="Heading2"/>
      </w:pPr>
      <w:r>
        <w:rPr>
          <w:color w:val="1A3A5C"/>
        </w:rPr>
        <w:t>5.2  Discussion</w:t>
      </w:r>
    </w:p>
    <w:p>
      <w:pPr>
        <w:spacing w:after="120" w:before="40"/>
      </w:pPr>
      <w:r>
        <w:t>The behaviour profiling component is critical for detecting novel attacks not present in the training data. The 7-day learning period is a practical limitation in clinical settings where devices are frequently reconfigured. Future work will explore transfer learning to reduce the learning period to 24 hours.</w:t>
      </w:r>
    </w:p>
    <w:p>
      <w:pPr>
        <w:pStyle w:val="Heading1"/>
      </w:pPr>
      <w:r>
        <w:rPr>
          <w:color w:val="1A3A5C"/>
        </w:rPr>
        <w:t>6.  Conclusion</w:t>
      </w:r>
    </w:p>
    <w:p>
      <w:pPr>
        <w:spacing w:after="120" w:before="40"/>
      </w:pPr>
      <w:r>
        <w:t>MedShield provides effective, lightweight intrusion detection for IoT medical devices. The 96.7% detection rate and minimal resource footprint make it suitable for deployment on existing hardware without firmware replacement. Future work will extend MedShield to support encrypted traffic analysis.</w:t>
      </w:r>
    </w:p>
    <w:p>
      <w:pPr>
        <w:pStyle w:val="Heading1"/>
      </w:pPr>
      <w:r>
        <w:rPr>
          <w:color w:val="1A3A5C"/>
        </w:rPr>
        <w:t>References</w:t>
      </w:r>
    </w:p>
    <w:p>
      <w:pPr>
        <w:pStyle w:val="ListBullet"/>
        <w:spacing w:after="80"/>
      </w:pPr>
      <w:r>
        <w:rPr>
          <w:b/>
          <w:sz w:val="20"/>
        </w:rPr>
        <w:t xml:space="preserve">[Taylor &amp; Brown, 2023]  </w:t>
      </w:r>
      <w:r>
        <w:rPr>
          <w:sz w:val="20"/>
        </w:rPr>
        <w:t>Taylor, D. and Brown, R. "Medical IoT Security: Vulnerabilities and Mitigations." IEEE IoT Journal, 2023.</w:t>
      </w:r>
    </w:p>
    <w:p>
      <w:pPr>
        <w:pStyle w:val="ListBullet"/>
        <w:spacing w:after="80"/>
      </w:pPr>
      <w:r>
        <w:rPr>
          <w:b/>
          <w:sz w:val="20"/>
        </w:rPr>
        <w:t xml:space="preserve">[Martin &amp; Clark, 2022]  </w:t>
      </w:r>
      <w:r>
        <w:rPr>
          <w:sz w:val="20"/>
        </w:rPr>
        <w:t>Martin, K. and Clark, S. "Hacking Insulin Pumps: A Proof-of-Concept Study." Proc. Black Hat USA, 2022.</w:t>
      </w:r>
    </w:p>
    <w:p>
      <w:pPr>
        <w:pStyle w:val="ListBullet"/>
        <w:spacing w:after="80"/>
      </w:pPr>
      <w:r>
        <w:rPr>
          <w:b/>
          <w:sz w:val="20"/>
        </w:rPr>
        <w:t xml:space="preserve">[Bormann et al., 2014]  </w:t>
      </w:r>
      <w:r>
        <w:rPr>
          <w:sz w:val="20"/>
        </w:rPr>
        <w:t>Bormann, C., Ersue, M. and Keranen, A. "Terminology for Constrained-Node Networks." IETF RFC 7228, 2014.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