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5C"/>
          <w:sz w:val="32"/>
        </w:rPr>
        <w:t>Haptic Feedback Interface Design for Deaf-Blind Communication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2"/>
        </w:rPr>
        <w:t>Instructor Author¹*, Demo Researcher²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¹ Training Institute, 123 Learning Road, Kuwait City, Kuwait; instructor@example.com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² Accessibility Lab, 45 Innovation Avenue, Kuwait City, Kuwait; demo@example.com</w:t>
      </w:r>
    </w:p>
    <w:p>
      <w:pPr>
        <w:jc w:val="center"/>
      </w:pPr>
      <w:r>
        <w:rPr>
          <w:rFonts w:ascii="Times New Roman" w:hAnsi="Times New Roman"/>
          <w:sz w:val="22"/>
        </w:rPr>
        <w:t>* Correspondence: instructor@example.com</w:t>
      </w:r>
    </w:p>
    <w:p>
      <w:pPr>
        <w:pStyle w:val="Heading1"/>
      </w:pPr>
      <w:r>
        <w:rPr>
          <w:color w:val="1A3A5C"/>
        </w:rPr>
        <w:t>Abstract</w:t>
      </w:r>
    </w:p>
    <w:p>
      <w:pPr>
        <w:spacing w:after="120" w:before="40"/>
      </w:pPr>
      <w:r>
        <w:t>Note: This is a fake research paper generated as a hands-on exercise for practising academic typesetting using Overleaf with standard journal templates. Deaf-blind individuals rely on tactile communication methods such as Braille and hand-over-hand signing, which are slow and require a human intermediary. This paper presents TactileLink, a wearable haptic interface that encodes text and alerts into vibrotactile patterns on the forearm. A user study with 20 deaf-blind participants demonstrates a communication throughput of 42 characters per minute, a three-fold improvement over refreshable Braille displays.</w:t>
      </w:r>
    </w:p>
    <w:p>
      <w:pPr>
        <w:spacing w:after="160"/>
      </w:pPr>
      <w:r>
        <w:rPr>
          <w:b/>
          <w:sz w:val="20"/>
        </w:rPr>
        <w:t xml:space="preserve">Keywords: </w:t>
      </w:r>
      <w:r>
        <w:rPr>
          <w:sz w:val="20"/>
        </w:rPr>
        <w:t>haptic feedback, deaf-blind, Braille, tactile communication, assistive technology</w:t>
      </w:r>
    </w:p>
    <w:p>
      <w:pPr>
        <w:pStyle w:val="Heading1"/>
      </w:pPr>
      <w:r>
        <w:rPr>
          <w:color w:val="1A3A5C"/>
        </w:rPr>
        <w:t>1.  Introduction</w:t>
      </w:r>
    </w:p>
    <w:p>
      <w:pPr>
        <w:spacing w:after="120" w:before="40"/>
      </w:pPr>
      <w:r>
        <w:t>Approximately 0.2% of the global population is deaf-blind, facing extreme isolation due to the lack of suitable communication technology [White &amp; Green, 2022]. Refreshable Braille displays, the current standard, are expensive (USD 3,000 to 15,000) and limited to linear text output [Nguyen &amp; Tran, 2023]. TactileLink proposes a low-cost (USD 120) wearable alternative using an array of vibration motors. The paper is organised as follows: Section 2 reviews related work; Section 3 describes TactileLink; Section 4 reports results; Section 5 concludes.</w:t>
      </w:r>
    </w:p>
    <w:p>
      <w:pPr>
        <w:pStyle w:val="Heading1"/>
      </w:pPr>
      <w:r>
        <w:rPr>
          <w:color w:val="1A3A5C"/>
        </w:rPr>
        <w:t>2.  Related Work</w:t>
      </w:r>
    </w:p>
    <w:p>
      <w:pPr>
        <w:pStyle w:val="Heading2"/>
      </w:pPr>
      <w:r>
        <w:rPr>
          <w:color w:val="1A3A5C"/>
        </w:rPr>
        <w:t>2.1  Prior Studies</w:t>
      </w:r>
    </w:p>
    <w:p>
      <w:pPr>
        <w:spacing w:after="120" w:before="40"/>
      </w:pPr>
      <w:r>
        <w:t>Nguyen and Tran [Nguyen &amp; Tran, 2023] reviewed 15 haptic communication devices and found that most were limited to simple binary alerts. White and Green [White &amp; Green, 2022] developed a glove-based system achieving 28 characters per minute but requiring complex hand gestures that fatigued users.</w:t>
      </w:r>
    </w:p>
    <w:p>
      <w:pPr>
        <w:pStyle w:val="Heading2"/>
      </w:pPr>
      <w:r>
        <w:rPr>
          <w:color w:val="1A3A5C"/>
        </w:rPr>
        <w:t>2.2  Research Gaps</w:t>
      </w:r>
    </w:p>
    <w:p>
      <w:pPr>
        <w:spacing w:after="120" w:before="40"/>
      </w:pPr>
      <w:r>
        <w:t>Vibrotactile pattern encoding has been studied for notification systems [MacLean &amp; Enriquez, 2008], but encoding full character sets remains challenging due to the limited spatial resolution of tactile perception. TactileLink uses a novel 6-motor forearm array that maps to Braille cell positions.</w:t>
      </w:r>
    </w:p>
    <w:p>
      <w:pPr>
        <w:pStyle w:val="Heading1"/>
      </w:pPr>
      <w:r>
        <w:rPr>
          <w:color w:val="1A3A5C"/>
        </w:rPr>
        <w:t>3.  Methodology</w:t>
      </w:r>
    </w:p>
    <w:p>
      <w:pPr>
        <w:pStyle w:val="Heading2"/>
      </w:pPr>
      <w:r>
        <w:rPr>
          <w:color w:val="1A3A5C"/>
        </w:rPr>
        <w:t>3.1  System Overview</w:t>
      </w:r>
    </w:p>
    <w:p>
      <w:pPr>
        <w:spacing w:after="120" w:before="40"/>
      </w:pPr>
      <w:r>
        <w:t>TactileLink consists of a wearable forearm band with 6 vibration motors, a Bluetooth controller, and a smartphone app for text input. Figure 1 illustrates the hardware layout and encoding scheme.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93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9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1: System Architecture and Processing Pipeline</w:t>
      </w:r>
    </w:p>
    <w:p>
      <w:pPr>
        <w:pStyle w:val="Heading2"/>
      </w:pPr>
      <w:r>
        <w:rPr>
          <w:color w:val="1A3A5C"/>
        </w:rPr>
        <w:t>3.2  Component A</w:t>
      </w:r>
    </w:p>
    <w:p>
      <w:pPr>
        <w:spacing w:after="120" w:before="40"/>
      </w:pPr>
      <w:r>
        <w:t>The 6-motor array is positioned to match the 6-dot Braille cell layout on the forearm. Each motor activates for 80 ms per dot, with a 40 ms inter-character pause. Character transmission rate is software-configurable from 20 to 60 characters per minute.</w:t>
      </w:r>
    </w:p>
    <w:p>
      <w:pPr>
        <w:pStyle w:val="Heading2"/>
      </w:pPr>
      <w:r>
        <w:rPr>
          <w:color w:val="1A3A5C"/>
        </w:rPr>
        <w:t>3.3  Component B</w:t>
      </w:r>
    </w:p>
    <w:p>
      <w:pPr>
        <w:spacing w:after="120" w:before="40"/>
      </w:pPr>
      <w:r>
        <w:t>The encoding algorithm maps Unicode characters to Braille Grade 2 contractions, reducing average transmission length by 32%. A compression module handles common English words with single Braille contractions.</w:t>
      </w:r>
    </w:p>
    <w:p>
      <w:pPr>
        <w:pStyle w:val="Heading2"/>
      </w:pPr>
      <w:r>
        <w:rPr>
          <w:color w:val="1A3A5C"/>
        </w:rPr>
        <w:t>3.4  Component C</w:t>
      </w:r>
    </w:p>
    <w:p>
      <w:pPr>
        <w:spacing w:after="120" w:before="40"/>
      </w:pPr>
      <w:r>
        <w:t>A learning mode trains new users through a 30-minute interactive tutorial, progressively introducing characters and measuring retention. Retention rate after one week was 87% for the full 26-character alphabet.</w:t>
      </w:r>
    </w:p>
    <w:p>
      <w:pPr>
        <w:pStyle w:val="Heading1"/>
      </w:pPr>
      <w:r>
        <w:rPr>
          <w:b w:val="0"/>
          <w:i w:val="0"/>
        </w:rPr>
        <w:t>3.5  Simple Equation for Tactile Message Time</w:t>
      </w:r>
    </w:p>
    <w:p>
      <w:pPr/>
      <w:r>
        <w:rPr>
          <w:b w:val="0"/>
          <w:i w:val="0"/>
        </w:rPr>
        <w:t>The tactile message time is calculated using the number of encoded symbols and the duration of each vibration signal:</w:t>
      </w:r>
    </w:p>
    <w:p>
      <w:pPr>
        <w:jc w:val="center"/>
      </w:pPr>
      <w:r>
        <w:rPr>
          <w:rFonts w:ascii="Cambria Math" w:hAnsi="Cambria Math"/>
          <w:b w:val="0"/>
          <w:i/>
        </w:rPr>
        <w:t>Message Time = Number of Symbols × Vibration Duration          (1)</w:t>
      </w:r>
    </w:p>
    <w:p>
      <w:pPr/>
      <w:r>
        <w:rPr>
          <w:b w:val="0"/>
          <w:i w:val="0"/>
        </w:rPr>
        <w:t>As shown in Equation (1), longer messages require more time because each tactile symbol must be delivered through vibration.</w:t>
      </w:r>
    </w:p>
    <w:p>
      <w:pPr/>
    </w:p>
    <w:p>
      <w:pPr>
        <w:pStyle w:val="Heading1"/>
      </w:pPr>
      <w:r>
        <w:rPr>
          <w:color w:val="1A3A5C"/>
        </w:rPr>
        <w:t>4.  Experimental Setup</w:t>
      </w:r>
    </w:p>
    <w:p>
      <w:pPr>
        <w:pStyle w:val="Heading2"/>
      </w:pPr>
      <w:r>
        <w:rPr>
          <w:color w:val="1A3A5C"/>
        </w:rPr>
        <w:t>4.1  Dataset and Evaluation Metrics</w:t>
      </w:r>
    </w:p>
    <w:p>
      <w:pPr>
        <w:spacing w:after="120" w:before="40"/>
      </w:pPr>
      <w:r>
        <w:t>Experiments were conducted on publicly available benchmark datasets. Standard evaluation metrics including accuracy, precision, recall, and F1-score were computed. All experiments were repeated five times and mean values are reported. The following evaluation criteria were applied:</w:t>
      </w:r>
    </w:p>
    <w:p>
      <w:pPr>
        <w:pStyle w:val="ListBullet"/>
        <w:spacing w:after="40"/>
      </w:pPr>
      <w:r>
        <w:rPr>
          <w:sz w:val="20"/>
        </w:rPr>
        <w:t>Hardware specifications of the TactileLink wearable band</w:t>
      </w:r>
    </w:p>
    <w:p>
      <w:pPr>
        <w:pStyle w:val="ListBullet2"/>
        <w:spacing w:after="40"/>
      </w:pPr>
      <w:r>
        <w:rPr>
          <w:sz w:val="20"/>
        </w:rPr>
        <w:t>Six ERM vibration motors (diameter 10 mm, 3.0 V, 150 Hz)</w:t>
      </w:r>
    </w:p>
    <w:p>
      <w:pPr>
        <w:pStyle w:val="ListBullet2"/>
        <w:spacing w:after="40"/>
      </w:pPr>
      <w:r>
        <w:rPr>
          <w:sz w:val="20"/>
        </w:rPr>
        <w:t>Bluetooth Low Energy 5.0 module with 10-metre range</w:t>
      </w:r>
    </w:p>
    <w:p>
      <w:pPr>
        <w:pStyle w:val="ListBullet2"/>
        <w:spacing w:after="40"/>
      </w:pPr>
      <w:r>
        <w:rPr>
          <w:sz w:val="20"/>
        </w:rPr>
        <w:t>Rechargeable LiPo battery providing 8 hours of continuous use</w:t>
      </w:r>
    </w:p>
    <w:p>
      <w:pPr>
        <w:pStyle w:val="ListBullet"/>
        <w:spacing w:after="40"/>
      </w:pPr>
      <w:r>
        <w:rPr>
          <w:sz w:val="20"/>
        </w:rPr>
        <w:t>Character set supported by the encoding algorithm</w:t>
      </w:r>
    </w:p>
    <w:p>
      <w:pPr>
        <w:pStyle w:val="ListBullet2"/>
        <w:spacing w:after="40"/>
      </w:pPr>
      <w:r>
        <w:rPr>
          <w:sz w:val="20"/>
        </w:rPr>
        <w:t>Full 26-letter English alphabet in Braille Grade 1</w:t>
      </w:r>
    </w:p>
    <w:p>
      <w:pPr>
        <w:pStyle w:val="ListBullet2"/>
        <w:spacing w:after="40"/>
      </w:pPr>
      <w:r>
        <w:rPr>
          <w:sz w:val="20"/>
        </w:rPr>
        <w:t>Braille Grade 2 contractions for 180 common English words</w:t>
      </w:r>
    </w:p>
    <w:p>
      <w:pPr>
        <w:pStyle w:val="ListBullet2"/>
        <w:spacing w:after="40"/>
      </w:pPr>
      <w:r>
        <w:rPr>
          <w:sz w:val="20"/>
        </w:rPr>
        <w:t>Digits 0–9 and 12 punctuation symbols</w:t>
      </w:r>
    </w:p>
    <w:p>
      <w:pPr>
        <w:spacing w:after="80"/>
      </w:pPr>
    </w:p>
    <w:p>
      <w:pPr>
        <w:pStyle w:val="Heading2"/>
      </w:pPr>
      <w:r>
        <w:rPr>
          <w:color w:val="1A3A5C"/>
        </w:rPr>
        <w:t>4.2  Baseline Systems</w:t>
      </w:r>
    </w:p>
    <w:p>
      <w:pPr>
        <w:spacing w:after="120" w:before="40"/>
      </w:pPr>
      <w:r>
        <w:t>Three baseline systems were selected for comparison based on their prominence in recent literature. Hyperparameters for all baselines were tuned using the same validation set to ensure a fair comparison. The experimental procedure followed these steps:</w:t>
      </w:r>
    </w:p>
    <w:p>
      <w:pPr>
        <w:pStyle w:val="ListNumber"/>
        <w:spacing w:after="40"/>
      </w:pPr>
      <w:r>
        <w:rPr>
          <w:sz w:val="20"/>
        </w:rPr>
        <w:t>Fit the TactileLink band on the participant's non-dominant forearm.</w:t>
      </w:r>
    </w:p>
    <w:p>
      <w:pPr>
        <w:pStyle w:val="ListNumber"/>
        <w:spacing w:after="40"/>
      </w:pPr>
      <w:r>
        <w:rPr>
          <w:sz w:val="20"/>
        </w:rPr>
        <w:t>Complete the 30-minute interactive character-learning tutorial.</w:t>
      </w:r>
    </w:p>
    <w:p>
      <w:pPr>
        <w:pStyle w:val="ListNumber"/>
        <w:spacing w:after="40"/>
      </w:pPr>
      <w:r>
        <w:rPr>
          <w:sz w:val="20"/>
        </w:rPr>
        <w:t>Conduct a 5-minute warm-up session with single characters.</w:t>
      </w:r>
    </w:p>
    <w:p>
      <w:pPr>
        <w:pStyle w:val="ListNumber"/>
        <w:spacing w:after="40"/>
      </w:pPr>
      <w:r>
        <w:rPr>
          <w:sz w:val="20"/>
        </w:rPr>
        <w:t>Administer the benchmark: 100 random characters and 20 common words.</w:t>
      </w:r>
    </w:p>
    <w:p>
      <w:pPr>
        <w:pStyle w:val="ListNumber"/>
        <w:spacing w:after="40"/>
      </w:pPr>
      <w:r>
        <w:rPr>
          <w:sz w:val="20"/>
        </w:rPr>
        <w:t>Record throughput (characters per minute) and recognition accuracy.</w:t>
      </w:r>
    </w:p>
    <w:p>
      <w:pPr>
        <w:pStyle w:val="ListNumber"/>
        <w:spacing w:after="40"/>
      </w:pPr>
      <w:r>
        <w:rPr>
          <w:sz w:val="20"/>
        </w:rPr>
        <w:t>Repeat the benchmark after one week to measure retention.</w:t>
      </w:r>
    </w:p>
    <w:p>
      <w:pPr>
        <w:spacing w:after="80"/>
      </w:pPr>
    </w:p>
    <w:p>
      <w:pPr>
        <w:pStyle w:val="Heading1"/>
      </w:pPr>
      <w:r>
        <w:rPr>
          <w:color w:val="1A3A5C"/>
        </w:rPr>
        <w:t>5.  Results and Discussion</w:t>
      </w:r>
    </w:p>
    <w:p>
      <w:pPr>
        <w:pStyle w:val="Heading2"/>
      </w:pPr>
      <w:r>
        <w:rPr>
          <w:color w:val="1A3A5C"/>
        </w:rPr>
        <w:t>5.1  Quantitative Results</w:t>
      </w:r>
    </w:p>
    <w:p>
      <w:pPr>
        <w:spacing w:after="120" w:before="40"/>
      </w:pPr>
      <w:r>
        <w:t>Table 1 and Figure 2 compare TactileLink against refreshable Braille displays and the glove system. TactileLink achieves 42 characters per minute with 94% accuracy after two weeks of training, at a cost 125 times lower than commercial Braille displays [Nguyen &amp; Tran, 2023].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050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5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2: Performance Comparison Against Baselines</w:t>
      </w:r>
    </w:p>
    <w:p>
      <w:pPr>
        <w:spacing w:after="80"/>
        <w:jc w:val="center"/>
      </w:pPr>
      <w:r>
        <w:rPr>
          <w:b/>
          <w:sz w:val="20"/>
        </w:rPr>
        <w:t>Table 1: Quantitative Comparison of the Proposed System Against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Throughput (chars/min)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Cost (USD)</w:t>
            </w:r>
          </w:p>
        </w:tc>
      </w:tr>
      <w:tr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Refreshable Braille Display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88%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3,000 - 15,000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Glove System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450</w:t>
            </w:r>
          </w:p>
        </w:tc>
      </w:tr>
      <w:tr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TactileLink (Ours)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94%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120</w:t>
            </w:r>
          </w:p>
        </w:tc>
      </w:tr>
    </w:tbl>
    <w:p/>
    <w:p>
      <w:pPr>
        <w:pStyle w:val="Heading2"/>
      </w:pPr>
      <w:r>
        <w:rPr>
          <w:color w:val="1A3A5C"/>
        </w:rPr>
        <w:t>5.2  Discussion</w:t>
      </w:r>
    </w:p>
    <w:p>
      <w:pPr>
        <w:spacing w:after="120" w:before="40"/>
      </w:pPr>
      <w:r>
        <w:t>The forearm placement proved more comfortable than finger-based approaches, reducing fatigue during extended use. The main limitation is the 2-week learning curve, which may deter some users. Future iterations will explore machine learning to personalise vibration patterns to individual tactile sensitivity.</w:t>
      </w:r>
    </w:p>
    <w:p>
      <w:pPr>
        <w:pStyle w:val="Heading1"/>
      </w:pPr>
      <w:r>
        <w:rPr>
          <w:color w:val="1A3A5C"/>
        </w:rPr>
        <w:t>6.  Conclusion</w:t>
      </w:r>
    </w:p>
    <w:p>
      <w:pPr>
        <w:spacing w:after="120" w:before="40"/>
      </w:pPr>
      <w:r>
        <w:t>TactileLink offers a low-cost, high-throughput haptic communication interface for deaf-blind users. The three-fold improvement in communication throughput over refreshable Braille displays, combined with the 125-fold cost reduction, makes it a compelling alternative. Future work will add real-time speech-to-haptic conversion for in-person communication.</w:t>
      </w:r>
    </w:p>
    <w:p>
      <w:pPr>
        <w:pStyle w:val="Heading1"/>
      </w:pPr>
      <w:r>
        <w:rPr>
          <w:color w:val="1A3A5C"/>
        </w:rPr>
        <w:t>References</w:t>
      </w:r>
    </w:p>
    <w:p>
      <w:pPr>
        <w:pStyle w:val="ListBullet"/>
        <w:spacing w:after="80"/>
      </w:pPr>
      <w:r>
        <w:rPr>
          <w:b/>
          <w:sz w:val="20"/>
        </w:rPr>
        <w:t xml:space="preserve">[Nguyen &amp; Tran, 2023]  </w:t>
      </w:r>
      <w:r>
        <w:rPr>
          <w:sz w:val="20"/>
        </w:rPr>
        <w:t>Nguyen, T. and Tran, L. "Haptic Interfaces for Deaf-Blind Communication: A Review." IEEE Trans. Haptics, 2023.</w:t>
      </w:r>
    </w:p>
    <w:p>
      <w:pPr>
        <w:pStyle w:val="ListBullet"/>
        <w:spacing w:after="80"/>
      </w:pPr>
      <w:r>
        <w:rPr>
          <w:b/>
          <w:sz w:val="20"/>
        </w:rPr>
        <w:t xml:space="preserve">[White &amp; Green, 2022]  </w:t>
      </w:r>
      <w:r>
        <w:rPr>
          <w:sz w:val="20"/>
        </w:rPr>
        <w:t>White, E. and Green, J. "Glove-Based Haptic Communication for Deaf-Blind Users." Proc. ACM CHI, 2022.</w:t>
      </w:r>
    </w:p>
    <w:p>
      <w:pPr>
        <w:pStyle w:val="ListBullet"/>
        <w:spacing w:after="80"/>
      </w:pPr>
      <w:r>
        <w:rPr>
          <w:b/>
          <w:sz w:val="20"/>
        </w:rPr>
        <w:t xml:space="preserve">[MacLean &amp; Enriquez, 2008]  </w:t>
      </w:r>
      <w:r>
        <w:rPr>
          <w:sz w:val="20"/>
        </w:rPr>
        <w:t>MacLean, K. and Enriquez, M. "Perceptual Design of Haptic Icons." Proc. EuroHaptics, 2008.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