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A5C"/>
          <w:sz w:val="32"/>
        </w:rPr>
        <w:t>Voice-Controlled Smart Home Navigation for Motor-Impaired Individuals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2"/>
        </w:rPr>
        <w:t>Instructor Author¹*, Demo Researcher²</w:t>
      </w:r>
    </w:p>
    <w:p>
      <w:pPr>
        <w:spacing w:after="40"/>
        <w:jc w:val="center"/>
      </w:pPr>
      <w:r>
        <w:rPr>
          <w:rFonts w:ascii="Times New Roman" w:hAnsi="Times New Roman"/>
          <w:sz w:val="22"/>
        </w:rPr>
        <w:t>¹ Training Institute, 123 Learning Road, Kuwait City, Kuwait; instructor@example.com</w:t>
      </w:r>
    </w:p>
    <w:p>
      <w:pPr>
        <w:spacing w:after="40"/>
        <w:jc w:val="center"/>
      </w:pPr>
      <w:r>
        <w:rPr>
          <w:rFonts w:ascii="Times New Roman" w:hAnsi="Times New Roman"/>
          <w:sz w:val="22"/>
        </w:rPr>
        <w:t>² Accessibility Lab, 45 Innovation Avenue, Kuwait City, Kuwait; demo@example.com</w:t>
      </w:r>
    </w:p>
    <w:p>
      <w:pPr>
        <w:jc w:val="center"/>
      </w:pPr>
      <w:r>
        <w:rPr>
          <w:rFonts w:ascii="Times New Roman" w:hAnsi="Times New Roman"/>
          <w:sz w:val="22"/>
        </w:rPr>
        <w:t>* Correspondence: instructor@example.com</w:t>
      </w:r>
    </w:p>
    <w:p>
      <w:pPr>
        <w:pStyle w:val="Heading1"/>
      </w:pPr>
      <w:r>
        <w:rPr>
          <w:color w:val="1A3A5C"/>
        </w:rPr>
        <w:t>Abstract</w:t>
      </w:r>
    </w:p>
    <w:p>
      <w:pPr>
        <w:spacing w:after="120" w:before="40"/>
      </w:pPr>
      <w:r>
        <w:t>Note: This is a fake research paper generated as a hands-on exercise for practising academic typesetting using Overleaf with standard journal templates. Motor-impaired individuals face significant barriers in interacting with smart home devices designed primarily for able-bodied users. This paper presents VoiceHome, a context-aware voice control system that adapts command vocabularies to individual motor and speech capabilities. A controlled study with 45 motor-impaired participants shows a 41% reduction in command error rate compared to commercial voice assistants.</w:t>
      </w:r>
    </w:p>
    <w:p>
      <w:pPr>
        <w:spacing w:after="160"/>
      </w:pPr>
      <w:r>
        <w:rPr>
          <w:b/>
          <w:sz w:val="20"/>
        </w:rPr>
        <w:t xml:space="preserve">Keywords: </w:t>
      </w:r>
      <w:r>
        <w:rPr>
          <w:sz w:val="20"/>
        </w:rPr>
        <w:t>voice control, smart home, motor impairment, IoT, accessibility</w:t>
      </w:r>
    </w:p>
    <w:p>
      <w:pPr>
        <w:pStyle w:val="Heading1"/>
      </w:pPr>
      <w:r>
        <w:rPr>
          <w:color w:val="1A3A5C"/>
        </w:rPr>
        <w:t>1.  Introduction</w:t>
      </w:r>
    </w:p>
    <w:p>
      <w:pPr>
        <w:spacing w:after="120" w:before="40"/>
      </w:pPr>
      <w:r>
        <w:t>Smart home technology promises independence for motor-impaired individuals, yet commercial systems such as Amazon Alexa and Google Home are designed for average users [Chen &amp; Wang, 2022]. Users with conditions such as ALS, cerebral palsy, or spinal cord injuries often produce atypical speech patterns that confuse standard automatic speech recognition (ASR) engines [Garcia &amp; Morales, 2023]. VoiceHome addresses this by personalising the ASR model to each user. The paper is organised as follows: Section 2 reviews related work; Section 3 describes VoiceHome; Section 4 presents results; Section 5 concludes.</w:t>
      </w:r>
    </w:p>
    <w:p>
      <w:pPr>
        <w:pStyle w:val="Heading1"/>
      </w:pPr>
      <w:r>
        <w:rPr>
          <w:color w:val="1A3A5C"/>
        </w:rPr>
        <w:t>2.  Related Work</w:t>
      </w:r>
    </w:p>
    <w:p>
      <w:pPr>
        <w:pStyle w:val="Heading2"/>
      </w:pPr>
      <w:r>
        <w:rPr>
          <w:color w:val="1A3A5C"/>
        </w:rPr>
        <w:t>2.1  Prior Studies</w:t>
      </w:r>
    </w:p>
    <w:p>
      <w:pPr>
        <w:spacing w:after="120" w:before="40"/>
      </w:pPr>
      <w:r>
        <w:t>Garcia and Morales [Garcia &amp; Morales, 2023] evaluated three commercial voice assistants with 30 dysarthric speakers and found word error rates (WER) exceeding 45%, far above the 5% WER achieved with typical speakers. Chen and Wang [Chen &amp; Wang, 2022] proposed personalised acoustic models but required 4 hours of training data per user.</w:t>
      </w:r>
    </w:p>
    <w:p>
      <w:pPr>
        <w:pStyle w:val="Heading2"/>
      </w:pPr>
      <w:r>
        <w:rPr>
          <w:color w:val="1A3A5C"/>
        </w:rPr>
        <w:t>2.2  Research Gaps</w:t>
      </w:r>
    </w:p>
    <w:p>
      <w:pPr>
        <w:spacing w:after="120" w:before="40"/>
      </w:pPr>
      <w:r>
        <w:t>Transfer learning approaches have reduced the data requirement for personalised ASR to as little as 15 minutes of speech [Hinton et al., 2012]. VoiceHome leverages this advance to make personalisation practical for users with limited stamina.</w:t>
      </w:r>
    </w:p>
    <w:p>
      <w:pPr>
        <w:pStyle w:val="Heading1"/>
      </w:pPr>
      <w:r>
        <w:rPr>
          <w:color w:val="1A3A5C"/>
        </w:rPr>
        <w:t>3.  Methodology</w:t>
      </w:r>
    </w:p>
    <w:p>
      <w:pPr>
        <w:pStyle w:val="Heading2"/>
      </w:pPr>
      <w:r>
        <w:rPr>
          <w:color w:val="1A3A5C"/>
        </w:rPr>
        <w:t>3.1  System Overview</w:t>
      </w:r>
    </w:p>
    <w:p>
      <w:pPr>
        <w:spacing w:after="120" w:before="40"/>
      </w:pPr>
      <w:r>
        <w:t>VoiceHome consists of three layers: (1) a personalised ASR engine, (2) a context-aware command interpreter, and (3) an IoT device controller. Figure 1 illustrates the system architecture and data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393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9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1: System Architecture and Processing Pipeline</w:t>
      </w:r>
    </w:p>
    <w:p>
      <w:pPr>
        <w:pStyle w:val="Heading2"/>
      </w:pPr>
      <w:r>
        <w:rPr>
          <w:color w:val="1A3A5C"/>
        </w:rPr>
        <w:t>3.2  Component A</w:t>
      </w:r>
    </w:p>
    <w:p>
      <w:pPr>
        <w:spacing w:after="120" w:before="40"/>
      </w:pPr>
      <w:r>
        <w:t>The personalised ASR engine fine-tunes a pre-trained wav2vec 2.0 model on 15 minutes of user-specific speech collected during an onboarding session. Fine-tuning uses a learning rate of 0.0001 and runs for 50 epochs on a single GPU.</w:t>
      </w:r>
    </w:p>
    <w:p>
      <w:pPr>
        <w:pStyle w:val="Heading2"/>
      </w:pPr>
      <w:r>
        <w:rPr>
          <w:color w:val="1A3A5C"/>
        </w:rPr>
        <w:t>3.3  Component B</w:t>
      </w:r>
    </w:p>
    <w:p>
      <w:pPr>
        <w:spacing w:after="120" w:before="40"/>
      </w:pPr>
      <w:r>
        <w:t>The context-aware command interpreter uses the current smart home state (device status, time of day, user location) to disambiguate short or incomplete commands. A finite-state machine models the valid command transitions.</w:t>
      </w:r>
    </w:p>
    <w:p>
      <w:pPr>
        <w:pStyle w:val="Heading2"/>
      </w:pPr>
      <w:r>
        <w:rPr>
          <w:color w:val="1A3A5C"/>
        </w:rPr>
        <w:t>3.4  Component C</w:t>
      </w:r>
    </w:p>
    <w:p>
      <w:pPr>
        <w:spacing w:after="120" w:before="40"/>
      </w:pPr>
      <w:r>
        <w:t>The IoT device controller communicates with Zigbee and Z-Wave devices via a local hub, ensuring operation without internet connectivity for privacy and reliability.</w:t>
      </w:r>
    </w:p>
    <w:p>
      <w:pPr>
        <w:pStyle w:val="Heading1"/>
      </w:pPr>
      <w:r>
        <w:rPr>
          <w:b w:val="0"/>
          <w:i w:val="0"/>
        </w:rPr>
        <w:t>3.5  Simple Equation for Command Recognition Accuracy</w:t>
      </w:r>
    </w:p>
    <w:p>
      <w:pPr/>
      <w:r>
        <w:rPr>
          <w:b w:val="0"/>
          <w:i w:val="0"/>
        </w:rPr>
        <w:t>The command recognition accuracy is calculated by dividing the number of correctly recognised voice commands by the total number of spoken commands:</w:t>
      </w:r>
    </w:p>
    <w:p>
      <w:pPr>
        <w:jc w:val="center"/>
      </w:pPr>
      <w:r>
        <w:rPr>
          <w:rFonts w:ascii="Cambria Math" w:hAnsi="Cambria Math"/>
          <w:b w:val="0"/>
          <w:i/>
        </w:rPr>
        <w:t>Command Accuracy = (Correctly Recognised Commands / Total Commands) × 100          (1)</w:t>
      </w:r>
    </w:p>
    <w:p>
      <w:pPr/>
      <w:r>
        <w:rPr>
          <w:b w:val="0"/>
          <w:i w:val="0"/>
        </w:rPr>
        <w:t>As shown in Equation (1), command accuracy measures how reliably the smart home system understands user instructions.</w:t>
      </w:r>
    </w:p>
    <w:p>
      <w:pPr/>
    </w:p>
    <w:p>
      <w:pPr>
        <w:pStyle w:val="Heading1"/>
      </w:pPr>
      <w:r>
        <w:rPr>
          <w:color w:val="1A3A5C"/>
        </w:rPr>
        <w:t>4.  Experimental Setup</w:t>
      </w:r>
    </w:p>
    <w:p>
      <w:pPr>
        <w:pStyle w:val="Heading2"/>
      </w:pPr>
      <w:r>
        <w:rPr>
          <w:color w:val="1A3A5C"/>
        </w:rPr>
        <w:t>4.1  Dataset and Evaluation Metrics</w:t>
      </w:r>
    </w:p>
    <w:p>
      <w:pPr>
        <w:spacing w:after="120" w:before="40"/>
      </w:pPr>
      <w:r>
        <w:t>Experiments were conducted on publicly available benchmark datasets. Standard evaluation metrics including accuracy, precision, recall, and F1-score were computed. All experiments were repeated five times and mean values are reported. The following evaluation criteria were applied:</w:t>
      </w:r>
    </w:p>
    <w:p>
      <w:pPr>
        <w:pStyle w:val="ListBullet"/>
        <w:spacing w:after="40"/>
      </w:pPr>
      <w:r>
        <w:rPr>
          <w:sz w:val="20"/>
        </w:rPr>
        <w:t>Smart home device categories included in the benchmark</w:t>
      </w:r>
    </w:p>
    <w:p>
      <w:pPr>
        <w:pStyle w:val="ListBullet2"/>
        <w:spacing w:after="40"/>
      </w:pPr>
      <w:r>
        <w:rPr>
          <w:sz w:val="20"/>
        </w:rPr>
        <w:t>Lighting: ceiling lights, floor lamps, and smart switches</w:t>
      </w:r>
    </w:p>
    <w:p>
      <w:pPr>
        <w:pStyle w:val="ListBullet2"/>
        <w:spacing w:after="40"/>
      </w:pPr>
      <w:r>
        <w:rPr>
          <w:sz w:val="20"/>
        </w:rPr>
        <w:t>Climate: thermostat, air conditioner, and ceiling fan</w:t>
      </w:r>
    </w:p>
    <w:p>
      <w:pPr>
        <w:pStyle w:val="ListBullet2"/>
        <w:spacing w:after="40"/>
      </w:pPr>
      <w:r>
        <w:rPr>
          <w:sz w:val="20"/>
        </w:rPr>
        <w:t>Security: door locks, cameras, and motion sensors</w:t>
      </w:r>
    </w:p>
    <w:p>
      <w:pPr>
        <w:pStyle w:val="ListBullet"/>
        <w:spacing w:after="40"/>
      </w:pPr>
      <w:r>
        <w:rPr>
          <w:sz w:val="20"/>
        </w:rPr>
        <w:t>Participant eligibility criteria</w:t>
      </w:r>
    </w:p>
    <w:p>
      <w:pPr>
        <w:pStyle w:val="ListBullet2"/>
        <w:spacing w:after="40"/>
      </w:pPr>
      <w:r>
        <w:rPr>
          <w:sz w:val="20"/>
        </w:rPr>
        <w:t>Diagnosed motor impairment affecting upper or lower limbs</w:t>
      </w:r>
    </w:p>
    <w:p>
      <w:pPr>
        <w:pStyle w:val="ListBullet2"/>
        <w:spacing w:after="40"/>
      </w:pPr>
      <w:r>
        <w:rPr>
          <w:sz w:val="20"/>
        </w:rPr>
        <w:t>Ability to produce at least minimal vocalisation</w:t>
      </w:r>
    </w:p>
    <w:p>
      <w:pPr>
        <w:pStyle w:val="ListBullet2"/>
        <w:spacing w:after="40"/>
      </w:pPr>
      <w:r>
        <w:rPr>
          <w:sz w:val="20"/>
        </w:rPr>
        <w:t>No prior experience with VoiceHome required</w:t>
      </w:r>
    </w:p>
    <w:p>
      <w:pPr>
        <w:spacing w:after="80"/>
      </w:pPr>
    </w:p>
    <w:p>
      <w:pPr>
        <w:pStyle w:val="Heading2"/>
      </w:pPr>
      <w:r>
        <w:rPr>
          <w:color w:val="1A3A5C"/>
        </w:rPr>
        <w:t>4.2  Baseline Systems</w:t>
      </w:r>
    </w:p>
    <w:p>
      <w:pPr>
        <w:spacing w:after="120" w:before="40"/>
      </w:pPr>
      <w:r>
        <w:t>Three baseline systems were selected for comparison based on their prominence in recent literature. Hyperparameters for all baselines were tuned using the same validation set to ensure a fair comparison. The experimental procedure followed these steps:</w:t>
      </w:r>
    </w:p>
    <w:p>
      <w:pPr>
        <w:pStyle w:val="ListNumber"/>
        <w:spacing w:after="40"/>
      </w:pPr>
      <w:r>
        <w:rPr>
          <w:sz w:val="20"/>
        </w:rPr>
        <w:t>Recruit 45 motor-impaired participants via disability support organisations.</w:t>
      </w:r>
    </w:p>
    <w:p>
      <w:pPr>
        <w:pStyle w:val="ListNumber"/>
        <w:spacing w:after="40"/>
      </w:pPr>
      <w:r>
        <w:rPr>
          <w:sz w:val="20"/>
        </w:rPr>
        <w:t>Conduct the 15-minute onboarding session to personalise the ASR model.</w:t>
      </w:r>
    </w:p>
    <w:p>
      <w:pPr>
        <w:pStyle w:val="ListNumber"/>
        <w:spacing w:after="40"/>
      </w:pPr>
      <w:r>
        <w:rPr>
          <w:sz w:val="20"/>
        </w:rPr>
        <w:t>Assign each participant a randomised sequence of 30 smart home tasks.</w:t>
      </w:r>
    </w:p>
    <w:p>
      <w:pPr>
        <w:pStyle w:val="ListNumber"/>
        <w:spacing w:after="40"/>
      </w:pPr>
      <w:r>
        <w:rPr>
          <w:sz w:val="20"/>
        </w:rPr>
        <w:t>Record task success, command error rate, and completion time per task.</w:t>
      </w:r>
    </w:p>
    <w:p>
      <w:pPr>
        <w:pStyle w:val="ListNumber"/>
        <w:spacing w:after="40"/>
      </w:pPr>
      <w:r>
        <w:rPr>
          <w:sz w:val="20"/>
        </w:rPr>
        <w:t>Compare results against Alexa and Google Home under identical conditions.</w:t>
      </w:r>
    </w:p>
    <w:p>
      <w:pPr>
        <w:pStyle w:val="ListNumber"/>
        <w:spacing w:after="40"/>
      </w:pPr>
      <w:r>
        <w:rPr>
          <w:sz w:val="20"/>
        </w:rPr>
        <w:t>Analyse performance differences using one-way ANOVA with post-hoc Tukey tests.</w:t>
      </w:r>
    </w:p>
    <w:p>
      <w:pPr>
        <w:spacing w:after="80"/>
      </w:pPr>
    </w:p>
    <w:p>
      <w:pPr>
        <w:pStyle w:val="Heading1"/>
      </w:pPr>
      <w:r>
        <w:rPr>
          <w:color w:val="1A3A5C"/>
        </w:rPr>
        <w:t>5.  Results and Discussion</w:t>
      </w:r>
    </w:p>
    <w:p>
      <w:pPr>
        <w:pStyle w:val="Heading2"/>
      </w:pPr>
      <w:r>
        <w:rPr>
          <w:color w:val="1A3A5C"/>
        </w:rPr>
        <w:t>5.1  Quantitative Results</w:t>
      </w:r>
    </w:p>
    <w:p>
      <w:pPr>
        <w:spacing w:after="120" w:before="40"/>
      </w:pPr>
      <w:r>
        <w:t>Table 1 and Figure 2 compare VoiceHome against Alexa and Google Home on the custom benchmark. VoiceHome achieves a WER of 12.3% versus 47.8% for the best commercial baseline, and a task success rate of 91% versus 54% [Garcia &amp; Morales, 2023].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050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50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2: Performance Comparison Against Baselines</w:t>
      </w:r>
    </w:p>
    <w:p>
      <w:pPr>
        <w:spacing w:after="80"/>
        <w:jc w:val="center"/>
      </w:pPr>
      <w:r>
        <w:rPr>
          <w:b/>
          <w:sz w:val="20"/>
        </w:rPr>
        <w:t>Table 1: Quantitative Comparison of the Proposed System Against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WER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Task Success Rate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Avg Latency</w:t>
            </w:r>
          </w:p>
        </w:tc>
      </w:tr>
      <w:tr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Amazon Alexa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47.8%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54%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2.1 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Google Home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38.2%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62%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1.8 s</w:t>
            </w:r>
          </w:p>
        </w:tc>
      </w:tr>
      <w:tr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VoiceHome (Ours)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12.3%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1.4 s</w:t>
            </w:r>
          </w:p>
        </w:tc>
      </w:tr>
    </w:tbl>
    <w:p/>
    <w:p>
      <w:pPr>
        <w:pStyle w:val="Heading2"/>
      </w:pPr>
      <w:r>
        <w:rPr>
          <w:color w:val="1A3A5C"/>
        </w:rPr>
        <w:t>5.2  Discussion</w:t>
      </w:r>
    </w:p>
    <w:p>
      <w:pPr>
        <w:spacing w:after="120" w:before="40"/>
      </w:pPr>
      <w:r>
        <w:t>The personalised ASR approach accounts for the majority of the improvement. Context-aware disambiguation contributes an additional 8% reduction in command errors. The main limitation is the 15-minute onboarding session, which some users with severe fatigue found challenging.</w:t>
      </w:r>
    </w:p>
    <w:p>
      <w:pPr>
        <w:pStyle w:val="Heading1"/>
      </w:pPr>
      <w:r>
        <w:rPr>
          <w:color w:val="1A3A5C"/>
        </w:rPr>
        <w:t>6.  Conclusion</w:t>
      </w:r>
    </w:p>
    <w:p>
      <w:pPr>
        <w:spacing w:after="120" w:before="40"/>
      </w:pPr>
      <w:r>
        <w:t>VoiceHome demonstrates that personalised, context-aware voice control can substantially improve smart home accessibility for motor-impaired users. Future work will reduce onboarding time to under 5 minutes and add multimodal fallback via eye-gaze input.</w:t>
      </w:r>
    </w:p>
    <w:p>
      <w:pPr>
        <w:pStyle w:val="Heading1"/>
      </w:pPr>
      <w:r>
        <w:rPr>
          <w:color w:val="1A3A5C"/>
        </w:rPr>
        <w:t>References</w:t>
      </w:r>
    </w:p>
    <w:p>
      <w:pPr>
        <w:pStyle w:val="ListBullet"/>
        <w:spacing w:after="80"/>
      </w:pPr>
      <w:r>
        <w:rPr>
          <w:b/>
          <w:sz w:val="20"/>
        </w:rPr>
        <w:t xml:space="preserve">[Garcia &amp; Morales, 2023]  </w:t>
      </w:r>
      <w:r>
        <w:rPr>
          <w:sz w:val="20"/>
        </w:rPr>
        <w:t>Garcia, L. and Morales, A. "Smart Home Voice Navigation for Motor-Impaired Users." Pervasive and Mobile Computing, 2023.</w:t>
      </w:r>
    </w:p>
    <w:p>
      <w:pPr>
        <w:pStyle w:val="ListBullet"/>
        <w:spacing w:after="80"/>
      </w:pPr>
      <w:r>
        <w:rPr>
          <w:b/>
          <w:sz w:val="20"/>
        </w:rPr>
        <w:t xml:space="preserve">[Chen &amp; Wang, 2022]  </w:t>
      </w:r>
      <w:r>
        <w:rPr>
          <w:sz w:val="20"/>
        </w:rPr>
        <w:t>Chen, H. and Wang, F. "Personalised ASR for Motor Impairment." Proc. ACM ASSETS, 2022.</w:t>
      </w:r>
    </w:p>
    <w:p>
      <w:pPr>
        <w:pStyle w:val="ListBullet"/>
        <w:spacing w:after="80"/>
      </w:pPr>
      <w:r>
        <w:rPr>
          <w:b/>
          <w:sz w:val="20"/>
        </w:rPr>
        <w:t xml:space="preserve">[Hinton et al., 2012]  </w:t>
      </w:r>
      <w:r>
        <w:rPr>
          <w:sz w:val="20"/>
        </w:rPr>
        <w:t>Hinton, G. et al. "Deep Neural Networks for Acoustic Modeling in Speech Recognition." IEEE Signal Processing Magazine, 2012.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