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2026-03-05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20:12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17:11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Boff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Theft - From a Retailer (Shoplift)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  <w:t xml:space="preserve">At approximately [incident_time] on 2026-03-05, a theft occurred at (Boss). The person(s) of interest is/are described as: [Enter_Description]. [Enter_Item_Quantity] item(s) - [Enter_Item_Description] were stolen, valued at [item_value]. 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