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1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color w:val="001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0"/>
                <w:szCs w:val="20"/>
                <w:rtl w:val="0"/>
              </w:rPr>
              <w:t xml:space="preserve">{{name}}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{{license}}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{{date}}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{{incident_time}}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{{report_time}}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39302c"/>
                <w:rtl w:val="0"/>
              </w:rPr>
              <w:t xml:space="preserve">{{reported_by}}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{{repored_to}}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{{specific_area}}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{{description}}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9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695"/>
        <w:gridCol w:w="1703"/>
        <w:gridCol w:w="2011"/>
        <w:gridCol w:w="1388"/>
        <w:gridCol w:w="997"/>
        <w:tblGridChange w:id="0">
          <w:tblGrid>
            <w:gridCol w:w="1696"/>
            <w:gridCol w:w="2695"/>
            <w:gridCol w:w="1703"/>
            <w:gridCol w:w="2011"/>
            <w:gridCol w:w="1388"/>
            <w:gridCol w:w="99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Tenant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{{tenant_name}}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Approx. 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{{tenant_phone}}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9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695"/>
        <w:gridCol w:w="1703"/>
        <w:gridCol w:w="2011"/>
        <w:gridCol w:w="1388"/>
        <w:gridCol w:w="997"/>
        <w:tblGridChange w:id="0">
          <w:tblGrid>
            <w:gridCol w:w="1696"/>
            <w:gridCol w:w="2695"/>
            <w:gridCol w:w="1703"/>
            <w:gridCol w:w="2011"/>
            <w:gridCol w:w="1388"/>
            <w:gridCol w:w="99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Tenant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Approx. 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