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72B" w:rsidRDefault="003F4F49">
      <w:pPr>
        <w:pStyle w:val="Heading1"/>
      </w:pPr>
      <w:bookmarkStart w:id="0" w:name="X670d94b7dce31467543828b1edd50726eea1218"/>
      <w:r>
        <w:t>MESIntegrationService – Architecture Overview</w:t>
      </w:r>
    </w:p>
    <w:p w:rsidR="004D072B" w:rsidRDefault="003F4F49">
      <w:pPr>
        <w:pStyle w:val="Heading2"/>
      </w:pPr>
      <w:bookmarkStart w:id="1" w:name="purpose"/>
      <w:r>
        <w:t>Purpose</w:t>
      </w:r>
    </w:p>
    <w:p w:rsidR="004D072B" w:rsidRDefault="003F4F49">
      <w:pPr>
        <w:pStyle w:val="FirstParagraph"/>
      </w:pPr>
      <w:r>
        <w:t>MESIntegrationService was introduced as a standalone microservice to decouple Manufacturing Execution System (MES) integration concerns from PredictionService.</w:t>
      </w:r>
    </w:p>
    <w:p w:rsidR="004D072B" w:rsidRDefault="003F4F49">
      <w:pPr>
        <w:pStyle w:val="BodyText"/>
      </w:pPr>
      <w:r>
        <w:t>Its primary responsibility is to act as the industrial integration layer between external production systems and the MDF1 AI Platform.</w:t>
      </w:r>
    </w:p>
    <w:p w:rsidR="004D072B" w:rsidRDefault="003F4F49">
      <w:pPr>
        <w:pStyle w:val="BodyText"/>
      </w:pPr>
      <w:r>
        <w:t>This separation allows PredictionService to remain focused exclusively on machine learning inference, explainability, and model serving, while MESIntegrationService manages communication, feature translation, security, logging, and production traceability.</w:t>
      </w:r>
    </w:p>
    <w:p w:rsidR="004D072B" w:rsidRDefault="001C6C15">
      <w:r>
        <w:pict>
          <v:rect id="_x0000_i1025" style="width:0;height:1.5pt" o:hralign="center" o:hrstd="t" o:hr="t"/>
        </w:pict>
      </w:r>
    </w:p>
    <w:p w:rsidR="004D072B" w:rsidRDefault="003F4F49">
      <w:pPr>
        <w:pStyle w:val="Heading2"/>
      </w:pPr>
      <w:bookmarkStart w:id="2" w:name="high-level-architecture"/>
      <w:bookmarkEnd w:id="1"/>
      <w:r>
        <w:t>High-Level Architecture</w:t>
      </w:r>
    </w:p>
    <w:p w:rsidR="004D072B" w:rsidRDefault="003F4F49">
      <w:pPr>
        <w:pStyle w:val="SourceCode"/>
      </w:pPr>
      <w:r>
        <w:rPr>
          <w:rStyle w:val="VerbatimChar"/>
        </w:rPr>
        <w:t>MES / LiraMES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MESIntegrationService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PredictionService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PostgreSQL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GUIService</w:t>
      </w:r>
    </w:p>
    <w:p w:rsidR="004D072B" w:rsidRDefault="003F4F49">
      <w:pPr>
        <w:pStyle w:val="Heading3"/>
      </w:pPr>
      <w:bookmarkStart w:id="3" w:name="responsibilities"/>
      <w:r>
        <w:t>Responsibilities</w:t>
      </w:r>
    </w:p>
    <w:p w:rsidR="004D072B" w:rsidRPr="00B40C1A" w:rsidRDefault="003F4F49">
      <w:pPr>
        <w:pStyle w:val="Heading4"/>
        <w:rPr>
          <w:sz w:val="22"/>
          <w:szCs w:val="22"/>
        </w:rPr>
      </w:pPr>
      <w:bookmarkStart w:id="4" w:name="mesintegrationservice"/>
      <w:r w:rsidRPr="00B40C1A">
        <w:rPr>
          <w:sz w:val="22"/>
          <w:szCs w:val="22"/>
        </w:rPr>
        <w:t>MESIntegrationService</w:t>
      </w:r>
    </w:p>
    <w:p w:rsidR="004D072B" w:rsidRPr="00B40C1A" w:rsidRDefault="003F4F49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B40C1A">
        <w:rPr>
          <w:sz w:val="22"/>
          <w:szCs w:val="22"/>
        </w:rPr>
        <w:t>Receives production requests from MES.</w:t>
      </w:r>
    </w:p>
    <w:p w:rsidR="004D072B" w:rsidRPr="00B40C1A" w:rsidRDefault="003F4F49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B40C1A">
        <w:rPr>
          <w:sz w:val="22"/>
          <w:szCs w:val="22"/>
        </w:rPr>
        <w:t>Validates API authentication.</w:t>
      </w:r>
    </w:p>
    <w:p w:rsidR="004D072B" w:rsidRPr="00B40C1A" w:rsidRDefault="003F4F49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B40C1A">
        <w:rPr>
          <w:sz w:val="22"/>
          <w:szCs w:val="22"/>
        </w:rPr>
        <w:t>Maps MES feature names to ML feature names.</w:t>
      </w:r>
    </w:p>
    <w:p w:rsidR="004D072B" w:rsidRPr="00B40C1A" w:rsidRDefault="003F4F49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B40C1A">
        <w:rPr>
          <w:sz w:val="22"/>
          <w:szCs w:val="22"/>
        </w:rPr>
        <w:t>Calls PredictionService.</w:t>
      </w:r>
    </w:p>
    <w:p w:rsidR="004D072B" w:rsidRPr="00B40C1A" w:rsidRDefault="003F4F49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B40C1A">
        <w:rPr>
          <w:sz w:val="22"/>
          <w:szCs w:val="22"/>
        </w:rPr>
        <w:t>Stores MES prediction history.</w:t>
      </w:r>
    </w:p>
    <w:p w:rsidR="004D072B" w:rsidRPr="00B40C1A" w:rsidRDefault="003F4F49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B40C1A">
        <w:rPr>
          <w:sz w:val="22"/>
          <w:szCs w:val="22"/>
        </w:rPr>
        <w:t>Provides integration health monitoring.</w:t>
      </w:r>
    </w:p>
    <w:p w:rsidR="004D072B" w:rsidRPr="00B40C1A" w:rsidRDefault="003F4F49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B40C1A">
        <w:rPr>
          <w:sz w:val="22"/>
          <w:szCs w:val="22"/>
        </w:rPr>
        <w:t>Returns MES-friendly responses.</w:t>
      </w:r>
    </w:p>
    <w:p w:rsidR="004D072B" w:rsidRPr="00B40C1A" w:rsidRDefault="003F4F49">
      <w:pPr>
        <w:pStyle w:val="Heading4"/>
        <w:rPr>
          <w:sz w:val="22"/>
          <w:szCs w:val="22"/>
        </w:rPr>
      </w:pPr>
      <w:bookmarkStart w:id="5" w:name="predictionservice"/>
      <w:bookmarkEnd w:id="4"/>
      <w:r w:rsidRPr="00B40C1A">
        <w:rPr>
          <w:sz w:val="22"/>
          <w:szCs w:val="22"/>
        </w:rPr>
        <w:t>PredictionService</w:t>
      </w:r>
    </w:p>
    <w:p w:rsidR="004D072B" w:rsidRPr="00B40C1A" w:rsidRDefault="003F4F49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B40C1A">
        <w:rPr>
          <w:sz w:val="22"/>
          <w:szCs w:val="22"/>
        </w:rPr>
        <w:t>Loads registry-selected ML models.</w:t>
      </w:r>
    </w:p>
    <w:p w:rsidR="004D072B" w:rsidRPr="00B40C1A" w:rsidRDefault="003F4F49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B40C1A">
        <w:rPr>
          <w:sz w:val="22"/>
          <w:szCs w:val="22"/>
        </w:rPr>
        <w:t>Executes prediction workflows.</w:t>
      </w:r>
    </w:p>
    <w:p w:rsidR="004D072B" w:rsidRPr="00B40C1A" w:rsidRDefault="003F4F49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B40C1A">
        <w:rPr>
          <w:sz w:val="22"/>
          <w:szCs w:val="22"/>
        </w:rPr>
        <w:t>Generates SHAP explainability.</w:t>
      </w:r>
    </w:p>
    <w:p w:rsidR="004D072B" w:rsidRPr="00B40C1A" w:rsidRDefault="003F4F49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B40C1A">
        <w:rPr>
          <w:sz w:val="22"/>
          <w:szCs w:val="22"/>
        </w:rPr>
        <w:t>Calculates risk levels.</w:t>
      </w:r>
    </w:p>
    <w:p w:rsidR="004D072B" w:rsidRPr="00B40C1A" w:rsidRDefault="003F4F49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B40C1A">
        <w:rPr>
          <w:sz w:val="22"/>
          <w:szCs w:val="22"/>
        </w:rPr>
        <w:t>Generates recommendations.</w:t>
      </w:r>
    </w:p>
    <w:p w:rsidR="004D072B" w:rsidRPr="00B40C1A" w:rsidRDefault="003F4F49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B40C1A">
        <w:rPr>
          <w:sz w:val="22"/>
          <w:szCs w:val="22"/>
        </w:rPr>
        <w:t>Returns industrial prediction results.</w:t>
      </w:r>
    </w:p>
    <w:p w:rsidR="004D072B" w:rsidRPr="00B40C1A" w:rsidRDefault="003F4F49">
      <w:pPr>
        <w:pStyle w:val="Heading4"/>
        <w:rPr>
          <w:sz w:val="22"/>
          <w:szCs w:val="22"/>
        </w:rPr>
      </w:pPr>
      <w:bookmarkStart w:id="6" w:name="guiservice"/>
      <w:bookmarkEnd w:id="5"/>
      <w:r w:rsidRPr="00B40C1A">
        <w:rPr>
          <w:sz w:val="22"/>
          <w:szCs w:val="22"/>
        </w:rPr>
        <w:t>GUIService</w:t>
      </w:r>
    </w:p>
    <w:p w:rsidR="004D072B" w:rsidRPr="00B40C1A" w:rsidRDefault="003F4F49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B40C1A">
        <w:rPr>
          <w:sz w:val="22"/>
          <w:szCs w:val="22"/>
        </w:rPr>
        <w:t>Provides operator and engineering dashboards.</w:t>
      </w:r>
    </w:p>
    <w:p w:rsidR="004D072B" w:rsidRPr="00B40C1A" w:rsidRDefault="003F4F49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B40C1A">
        <w:rPr>
          <w:sz w:val="22"/>
          <w:szCs w:val="22"/>
        </w:rPr>
        <w:t>Displays prediction history.</w:t>
      </w:r>
    </w:p>
    <w:p w:rsidR="004D072B" w:rsidRPr="00B40C1A" w:rsidRDefault="003F4F49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B40C1A">
        <w:rPr>
          <w:sz w:val="22"/>
          <w:szCs w:val="22"/>
        </w:rPr>
        <w:t>Displays explainability outputs.</w:t>
      </w:r>
    </w:p>
    <w:p w:rsidR="004D072B" w:rsidRPr="00B40C1A" w:rsidRDefault="003F4F49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B40C1A">
        <w:rPr>
          <w:sz w:val="22"/>
          <w:szCs w:val="22"/>
        </w:rPr>
        <w:t>Supports manual prediction and simulation workflows.</w:t>
      </w:r>
    </w:p>
    <w:p w:rsidR="004D072B" w:rsidRDefault="001C6C15">
      <w:r>
        <w:pict>
          <v:rect id="_x0000_i1026" style="width:0;height:1.5pt" o:hralign="center" o:hrstd="t" o:hr="t"/>
        </w:pict>
      </w:r>
    </w:p>
    <w:p w:rsidR="004D072B" w:rsidRDefault="003F4F49">
      <w:pPr>
        <w:pStyle w:val="Heading2"/>
      </w:pPr>
      <w:bookmarkStart w:id="7" w:name="implemented-endpoints"/>
      <w:bookmarkEnd w:id="2"/>
      <w:bookmarkEnd w:id="3"/>
      <w:bookmarkEnd w:id="6"/>
      <w:r>
        <w:lastRenderedPageBreak/>
        <w:t>Implemented Endpoints</w:t>
      </w:r>
    </w:p>
    <w:p w:rsidR="004D072B" w:rsidRDefault="003F4F49">
      <w:pPr>
        <w:pStyle w:val="Heading3"/>
      </w:pPr>
      <w:bookmarkStart w:id="8" w:name="mes-prediction"/>
      <w:r>
        <w:t>MES Prediction</w:t>
      </w:r>
    </w:p>
    <w:p w:rsidR="004D072B" w:rsidRDefault="003F4F49">
      <w:pPr>
        <w:pStyle w:val="SourceCode"/>
      </w:pPr>
      <w:r>
        <w:rPr>
          <w:rStyle w:val="VerbatimChar"/>
        </w:rPr>
        <w:t>POST /api/v1/mes/predict</w:t>
      </w:r>
    </w:p>
    <w:p w:rsidR="004D072B" w:rsidRDefault="003F4F49">
      <w:pPr>
        <w:pStyle w:val="FirstParagraph"/>
      </w:pPr>
      <w:r>
        <w:t>Receives production data from MES and forwards it to PredictionService.</w:t>
      </w:r>
    </w:p>
    <w:p w:rsidR="004D072B" w:rsidRDefault="003F4F49">
      <w:pPr>
        <w:pStyle w:val="Heading3"/>
      </w:pPr>
      <w:bookmarkStart w:id="9" w:name="predictionservice-health-check"/>
      <w:bookmarkEnd w:id="8"/>
      <w:r>
        <w:t>PredictionService Health Check</w:t>
      </w:r>
    </w:p>
    <w:p w:rsidR="004D072B" w:rsidRDefault="003F4F49">
      <w:pPr>
        <w:pStyle w:val="SourceCode"/>
      </w:pPr>
      <w:r>
        <w:rPr>
          <w:rStyle w:val="VerbatimChar"/>
        </w:rPr>
        <w:t>GET /api/v1/mes/prediction-service-health</w:t>
      </w:r>
    </w:p>
    <w:p w:rsidR="004D072B" w:rsidRDefault="003F4F49">
      <w:pPr>
        <w:pStyle w:val="FirstParagraph"/>
      </w:pPr>
      <w:r>
        <w:t>Verifies that PredictionService is reachable before production requests are sent.</w:t>
      </w:r>
    </w:p>
    <w:p w:rsidR="004D072B" w:rsidRDefault="003F4F49">
      <w:pPr>
        <w:pStyle w:val="Heading3"/>
      </w:pPr>
      <w:bookmarkStart w:id="10" w:name="mes-prediction-logs"/>
      <w:bookmarkEnd w:id="9"/>
      <w:r>
        <w:t>MES Prediction Logs</w:t>
      </w:r>
    </w:p>
    <w:p w:rsidR="004D072B" w:rsidRDefault="003F4F49">
      <w:pPr>
        <w:pStyle w:val="SourceCode"/>
      </w:pPr>
      <w:r>
        <w:rPr>
          <w:rStyle w:val="VerbatimChar"/>
        </w:rPr>
        <w:t>GET /api/v1/mes/logs</w:t>
      </w:r>
    </w:p>
    <w:p w:rsidR="004D072B" w:rsidRDefault="003F4F49">
      <w:pPr>
        <w:pStyle w:val="FirstParagraph"/>
      </w:pPr>
      <w:r>
        <w:t>Returns the latest MES prediction transactions stored in PostgreSQL.</w:t>
      </w:r>
    </w:p>
    <w:p w:rsidR="004D072B" w:rsidRDefault="001C6C15">
      <w:r>
        <w:pict>
          <v:rect id="_x0000_i1027" style="width:0;height:1.5pt" o:hralign="center" o:hrstd="t" o:hr="t"/>
        </w:pict>
      </w:r>
    </w:p>
    <w:p w:rsidR="004D072B" w:rsidRDefault="003F4F49">
      <w:pPr>
        <w:pStyle w:val="Heading2"/>
      </w:pPr>
      <w:bookmarkStart w:id="11" w:name="security-layer"/>
      <w:bookmarkEnd w:id="7"/>
      <w:bookmarkEnd w:id="10"/>
      <w:r>
        <w:t>Security Layer</w:t>
      </w:r>
    </w:p>
    <w:p w:rsidR="004D072B" w:rsidRDefault="003F4F49">
      <w:pPr>
        <w:pStyle w:val="FirstParagraph"/>
      </w:pPr>
      <w:r>
        <w:t>MESIntegrationService implements API-key based authentication.</w:t>
      </w:r>
    </w:p>
    <w:p w:rsidR="004D072B" w:rsidRDefault="003F4F49">
      <w:pPr>
        <w:pStyle w:val="SourceCode"/>
      </w:pPr>
      <w:r>
        <w:rPr>
          <w:rStyle w:val="VerbatimChar"/>
        </w:rPr>
        <w:t>x-api-key: mdf1-mes-secret-key</w:t>
      </w:r>
    </w:p>
    <w:p w:rsidR="004D072B" w:rsidRDefault="003F4F49">
      <w:pPr>
        <w:pStyle w:val="FirstParagraph"/>
      </w:pPr>
      <w:r>
        <w:t>This prevents unauthorized systems from invoking prediction endpoints.</w:t>
      </w:r>
    </w:p>
    <w:p w:rsidR="004D072B" w:rsidRDefault="001C6C15">
      <w:r>
        <w:pict>
          <v:rect id="_x0000_i1028" style="width:0;height:1.5pt" o:hralign="center" o:hrstd="t" o:hr="t"/>
        </w:pict>
      </w:r>
    </w:p>
    <w:p w:rsidR="004D072B" w:rsidRDefault="003F4F49">
      <w:pPr>
        <w:pStyle w:val="Heading2"/>
      </w:pPr>
      <w:bookmarkStart w:id="12" w:name="feature-mapping-layer"/>
      <w:bookmarkEnd w:id="11"/>
      <w:r>
        <w:t>Feature Mapping Layer</w:t>
      </w:r>
    </w:p>
    <w:p w:rsidR="004D072B" w:rsidRDefault="003F4F49">
      <w:pPr>
        <w:pStyle w:val="FirstParagraph"/>
      </w:pPr>
      <w:r>
        <w:t>MES field names are translated into PredictionService feature names through a dedicated mapping service.</w:t>
      </w:r>
    </w:p>
    <w:p w:rsidR="004D072B" w:rsidRDefault="003F4F49">
      <w:pPr>
        <w:pStyle w:val="BodyText"/>
      </w:pPr>
      <w:r>
        <w:t>Example:</w:t>
      </w:r>
    </w:p>
    <w:p w:rsidR="004D072B" w:rsidRDefault="003F4F49">
      <w:pPr>
        <w:pStyle w:val="SourceCode"/>
      </w:pPr>
      <w:r>
        <w:rPr>
          <w:rStyle w:val="VerbatimChar"/>
        </w:rPr>
        <w:t>MES Feature                  ML Feature</w:t>
      </w:r>
      <w:r>
        <w:br/>
      </w:r>
      <w:r>
        <w:rPr>
          <w:rStyle w:val="VerbatimChar"/>
        </w:rPr>
        <w:t>------------------------------------------------</w:t>
      </w:r>
      <w:r>
        <w:br/>
      </w:r>
      <w:r>
        <w:rPr>
          <w:rStyle w:val="VerbatimChar"/>
        </w:rPr>
        <w:t>press_fibre_density     →    operPressFibreDensity</w:t>
      </w:r>
      <w:r>
        <w:br/>
      </w:r>
      <w:r>
        <w:rPr>
          <w:rStyle w:val="VerbatimChar"/>
        </w:rPr>
        <w:t>cooking_time            →    operCookingTime</w:t>
      </w:r>
      <w:r>
        <w:br/>
      </w:r>
      <w:r>
        <w:rPr>
          <w:rStyle w:val="VerbatimChar"/>
        </w:rPr>
        <w:t>fibres_density          →    operFibresDensity</w:t>
      </w:r>
      <w:r>
        <w:br/>
      </w:r>
      <w:r>
        <w:rPr>
          <w:rStyle w:val="VerbatimChar"/>
        </w:rPr>
        <w:t>press_pressure_mid      →    pressPressureMid_mean</w:t>
      </w:r>
      <w:r>
        <w:br/>
      </w:r>
      <w:r>
        <w:rPr>
          <w:rStyle w:val="VerbatimChar"/>
        </w:rPr>
        <w:t>press_pressure_global   →    pressPressureGlobal_mean</w:t>
      </w:r>
      <w:r>
        <w:br/>
      </w:r>
      <w:r>
        <w:rPr>
          <w:rStyle w:val="VerbatimChar"/>
        </w:rPr>
        <w:t>belt_speed              →    beltSpeed1</w:t>
      </w:r>
      <w:r>
        <w:br/>
      </w:r>
      <w:r>
        <w:rPr>
          <w:rStyle w:val="VerbatimChar"/>
        </w:rPr>
        <w:t>raw_thickness           →    rawThickness</w:t>
      </w:r>
    </w:p>
    <w:p w:rsidR="004D072B" w:rsidRDefault="003F4F49">
      <w:pPr>
        <w:pStyle w:val="FirstParagraph"/>
      </w:pPr>
      <w:r>
        <w:t>This abstraction allows MES naming conventions to evolve independently from ML model feature contracts.</w:t>
      </w:r>
    </w:p>
    <w:p w:rsidR="004D072B" w:rsidRDefault="001C6C15">
      <w:r>
        <w:pict>
          <v:rect id="_x0000_i1029" style="width:0;height:1.5pt" o:hralign="center" o:hrstd="t" o:hr="t"/>
        </w:pict>
      </w:r>
    </w:p>
    <w:p w:rsidR="003F4F49" w:rsidRDefault="003F4F49">
      <w:pPr>
        <w:pStyle w:val="Heading2"/>
      </w:pPr>
      <w:bookmarkStart w:id="13" w:name="prediction-flow"/>
      <w:bookmarkEnd w:id="12"/>
    </w:p>
    <w:p w:rsidR="003F4F49" w:rsidRDefault="003F4F49">
      <w:pPr>
        <w:pStyle w:val="Heading2"/>
      </w:pPr>
    </w:p>
    <w:p w:rsidR="004D072B" w:rsidRDefault="003F4F49">
      <w:pPr>
        <w:pStyle w:val="Heading2"/>
      </w:pPr>
      <w:r>
        <w:t>Prediction Flow</w:t>
      </w:r>
    </w:p>
    <w:p w:rsidR="004D072B" w:rsidRDefault="003F4F49">
      <w:pPr>
        <w:pStyle w:val="SourceCode"/>
      </w:pPr>
      <w:r>
        <w:rPr>
          <w:rStyle w:val="VerbatimChar"/>
        </w:rPr>
        <w:t>MES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POST /api/v1/mes/predict</w:t>
      </w:r>
      <w:r>
        <w:br/>
      </w:r>
      <w:r>
        <w:rPr>
          <w:rStyle w:val="VerbatimChar"/>
        </w:rPr>
        <w:lastRenderedPageBreak/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Feature Mapping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PredictionService /explain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 Prediction</w:t>
      </w:r>
      <w:r>
        <w:br/>
      </w:r>
      <w:r>
        <w:rPr>
          <w:rStyle w:val="VerbatimChar"/>
        </w:rPr>
        <w:t xml:space="preserve"> ├─ SHAP Explainability</w:t>
      </w:r>
      <w:r>
        <w:br/>
      </w:r>
      <w:r>
        <w:rPr>
          <w:rStyle w:val="VerbatimChar"/>
        </w:rPr>
        <w:t xml:space="preserve"> ├─ Risk Assessment</w:t>
      </w:r>
      <w:r>
        <w:br/>
      </w:r>
      <w:r>
        <w:rPr>
          <w:rStyle w:val="VerbatimChar"/>
        </w:rPr>
        <w:t xml:space="preserve"> └─ Recommendation Engine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MESIntegrationService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PostgreSQL Logging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>MES Response</w:t>
      </w:r>
    </w:p>
    <w:p w:rsidR="004D072B" w:rsidRDefault="001C6C15">
      <w:r>
        <w:pict>
          <v:rect id="_x0000_i1030" style="width:0;height:1.5pt" o:hralign="center" o:hrstd="t" o:hr="t"/>
        </w:pict>
      </w:r>
    </w:p>
    <w:p w:rsidR="004D072B" w:rsidRDefault="003F4F49">
      <w:pPr>
        <w:pStyle w:val="Heading2"/>
      </w:pPr>
      <w:bookmarkStart w:id="14" w:name="postgresql-traceability"/>
      <w:bookmarkEnd w:id="13"/>
      <w:r>
        <w:t>PostgreSQL Traceability</w:t>
      </w:r>
    </w:p>
    <w:p w:rsidR="004D072B" w:rsidRDefault="003F4F49">
      <w:pPr>
        <w:pStyle w:val="FirstParagraph"/>
      </w:pPr>
      <w:r>
        <w:t>All MES prediction transactions are persisted for auditability and production traceability.</w:t>
      </w:r>
    </w:p>
    <w:p w:rsidR="004D072B" w:rsidRDefault="003F4F49">
      <w:pPr>
        <w:pStyle w:val="BodyText"/>
      </w:pPr>
      <w:r>
        <w:t>Stored information includes:</w:t>
      </w:r>
    </w:p>
    <w:p w:rsidR="004D072B" w:rsidRDefault="003F4F49">
      <w:pPr>
        <w:pStyle w:val="Compact"/>
        <w:numPr>
          <w:ilvl w:val="0"/>
          <w:numId w:val="5"/>
        </w:numPr>
      </w:pPr>
      <w:r>
        <w:t>Production ID</w:t>
      </w:r>
    </w:p>
    <w:p w:rsidR="004D072B" w:rsidRDefault="003F4F49">
      <w:pPr>
        <w:pStyle w:val="Compact"/>
        <w:numPr>
          <w:ilvl w:val="0"/>
          <w:numId w:val="5"/>
        </w:numPr>
      </w:pPr>
      <w:r>
        <w:t>Target</w:t>
      </w:r>
    </w:p>
    <w:p w:rsidR="004D072B" w:rsidRDefault="003F4F49">
      <w:pPr>
        <w:pStyle w:val="Compact"/>
        <w:numPr>
          <w:ilvl w:val="0"/>
          <w:numId w:val="5"/>
        </w:numPr>
      </w:pPr>
      <w:r>
        <w:t>Prediction</w:t>
      </w:r>
    </w:p>
    <w:p w:rsidR="004D072B" w:rsidRDefault="003F4F49">
      <w:pPr>
        <w:pStyle w:val="Compact"/>
        <w:numPr>
          <w:ilvl w:val="0"/>
          <w:numId w:val="5"/>
        </w:numPr>
      </w:pPr>
      <w:r>
        <w:t>Risk Level</w:t>
      </w:r>
    </w:p>
    <w:p w:rsidR="004D072B" w:rsidRDefault="003F4F49">
      <w:pPr>
        <w:pStyle w:val="Compact"/>
        <w:numPr>
          <w:ilvl w:val="0"/>
          <w:numId w:val="5"/>
        </w:numPr>
      </w:pPr>
      <w:r>
        <w:t>Recommendation</w:t>
      </w:r>
    </w:p>
    <w:p w:rsidR="004D072B" w:rsidRDefault="003F4F49">
      <w:pPr>
        <w:pStyle w:val="Compact"/>
        <w:numPr>
          <w:ilvl w:val="0"/>
          <w:numId w:val="5"/>
        </w:numPr>
      </w:pPr>
      <w:r>
        <w:t>SHAP Details</w:t>
      </w:r>
    </w:p>
    <w:p w:rsidR="004D072B" w:rsidRDefault="003F4F49">
      <w:pPr>
        <w:pStyle w:val="Compact"/>
        <w:numPr>
          <w:ilvl w:val="0"/>
          <w:numId w:val="5"/>
        </w:numPr>
      </w:pPr>
      <w:r>
        <w:t>Influencing Features</w:t>
      </w:r>
    </w:p>
    <w:p w:rsidR="004D072B" w:rsidRDefault="003F4F49">
      <w:pPr>
        <w:pStyle w:val="Compact"/>
        <w:numPr>
          <w:ilvl w:val="0"/>
          <w:numId w:val="5"/>
        </w:numPr>
      </w:pPr>
      <w:r>
        <w:t>MES Payload</w:t>
      </w:r>
    </w:p>
    <w:p w:rsidR="004D072B" w:rsidRDefault="003F4F49">
      <w:pPr>
        <w:pStyle w:val="Compact"/>
        <w:numPr>
          <w:ilvl w:val="0"/>
          <w:numId w:val="5"/>
        </w:numPr>
      </w:pPr>
      <w:r>
        <w:t>Timestamp</w:t>
      </w:r>
    </w:p>
    <w:p w:rsidR="004D072B" w:rsidRDefault="003F4F49">
      <w:pPr>
        <w:pStyle w:val="FirstParagraph"/>
      </w:pPr>
      <w:r>
        <w:t>Table:</w:t>
      </w:r>
    </w:p>
    <w:p w:rsidR="004D072B" w:rsidRDefault="003F4F49">
      <w:pPr>
        <w:pStyle w:val="SourceCode"/>
      </w:pPr>
      <w:r>
        <w:rPr>
          <w:rStyle w:val="NormalTok"/>
        </w:rPr>
        <w:t>mes_prediction_logs</w:t>
      </w:r>
    </w:p>
    <w:p w:rsidR="004D072B" w:rsidRDefault="001C6C15">
      <w:r>
        <w:pict>
          <v:rect id="_x0000_i1031" style="width:0;height:1.5pt" o:hralign="center" o:hrstd="t" o:hr="t"/>
        </w:pict>
      </w:r>
    </w:p>
    <w:p w:rsidR="004D072B" w:rsidRDefault="003F4F49">
      <w:pPr>
        <w:pStyle w:val="Heading2"/>
      </w:pPr>
      <w:bookmarkStart w:id="15" w:name="benefits-of-the-standalone-architecture"/>
      <w:bookmarkEnd w:id="14"/>
      <w:r>
        <w:t>Benefits of the Standalone Architecture</w:t>
      </w:r>
    </w:p>
    <w:p w:rsidR="004D072B" w:rsidRDefault="003F4F49">
      <w:pPr>
        <w:pStyle w:val="Heading3"/>
      </w:pPr>
      <w:bookmarkStart w:id="16" w:name="separation-of-concerns"/>
      <w:r>
        <w:t>Separation of Concerns</w:t>
      </w:r>
    </w:p>
    <w:p w:rsidR="004D072B" w:rsidRDefault="003F4F49">
      <w:pPr>
        <w:pStyle w:val="FirstParagraph"/>
      </w:pPr>
      <w:r>
        <w:t>PredictionService focuses only on ML serving.</w:t>
      </w:r>
    </w:p>
    <w:p w:rsidR="004D072B" w:rsidRDefault="003F4F49">
      <w:pPr>
        <w:pStyle w:val="BodyText"/>
      </w:pPr>
      <w:r>
        <w:t>MESIntegrationService focuses only on enterprise integration.</w:t>
      </w:r>
    </w:p>
    <w:p w:rsidR="004D072B" w:rsidRDefault="003F4F49">
      <w:pPr>
        <w:pStyle w:val="Heading3"/>
      </w:pPr>
      <w:bookmarkStart w:id="17" w:name="scalability"/>
      <w:bookmarkEnd w:id="16"/>
      <w:r>
        <w:t>Scalability</w:t>
      </w:r>
    </w:p>
    <w:p w:rsidR="004D072B" w:rsidRDefault="003F4F49">
      <w:pPr>
        <w:pStyle w:val="FirstParagraph"/>
      </w:pPr>
      <w:r>
        <w:t>Multiple MES systems can connect to the same PredictionService through a single integration layer.</w:t>
      </w:r>
    </w:p>
    <w:p w:rsidR="004D072B" w:rsidRDefault="003F4F49">
      <w:pPr>
        <w:pStyle w:val="Heading3"/>
      </w:pPr>
      <w:bookmarkStart w:id="18" w:name="maintainability"/>
      <w:bookmarkEnd w:id="17"/>
      <w:r>
        <w:lastRenderedPageBreak/>
        <w:t>Maintainability</w:t>
      </w:r>
    </w:p>
    <w:p w:rsidR="004D072B" w:rsidRDefault="003F4F49">
      <w:pPr>
        <w:pStyle w:val="FirstParagraph"/>
      </w:pPr>
      <w:r>
        <w:t>Changes to MES payload structures do not require modifications to PredictionService.</w:t>
      </w:r>
    </w:p>
    <w:p w:rsidR="004D072B" w:rsidRDefault="003F4F49">
      <w:pPr>
        <w:pStyle w:val="Heading3"/>
      </w:pPr>
      <w:bookmarkStart w:id="19" w:name="security"/>
      <w:bookmarkEnd w:id="18"/>
      <w:r>
        <w:t>Security</w:t>
      </w:r>
    </w:p>
    <w:p w:rsidR="004D072B" w:rsidRDefault="003F4F49">
      <w:pPr>
        <w:pStyle w:val="FirstParagraph"/>
      </w:pPr>
      <w:r>
        <w:t>External production systems never communicate directly with ML artifacts.</w:t>
      </w:r>
    </w:p>
    <w:p w:rsidR="004D072B" w:rsidRDefault="003F4F49">
      <w:pPr>
        <w:pStyle w:val="Heading3"/>
      </w:pPr>
      <w:bookmarkStart w:id="20" w:name="enterprise-readiness"/>
      <w:bookmarkEnd w:id="19"/>
      <w:r>
        <w:t>Enterprise Readiness</w:t>
      </w:r>
    </w:p>
    <w:p w:rsidR="004D072B" w:rsidRDefault="003F4F49">
      <w:pPr>
        <w:pStyle w:val="FirstParagraph"/>
      </w:pPr>
      <w:r>
        <w:t>The architecture is aligned with future:</w:t>
      </w:r>
    </w:p>
    <w:p w:rsidR="004D072B" w:rsidRDefault="003F4F49">
      <w:pPr>
        <w:pStyle w:val="Compact"/>
        <w:numPr>
          <w:ilvl w:val="0"/>
          <w:numId w:val="6"/>
        </w:numPr>
      </w:pPr>
      <w:r>
        <w:t>MOM platforms</w:t>
      </w:r>
    </w:p>
    <w:p w:rsidR="004D072B" w:rsidRDefault="003F4F49">
      <w:pPr>
        <w:pStyle w:val="Compact"/>
        <w:numPr>
          <w:ilvl w:val="0"/>
          <w:numId w:val="6"/>
        </w:numPr>
      </w:pPr>
      <w:r>
        <w:t>Multi-line deployment</w:t>
      </w:r>
    </w:p>
    <w:p w:rsidR="004D072B" w:rsidRDefault="003F4F49">
      <w:pPr>
        <w:pStyle w:val="Compact"/>
        <w:numPr>
          <w:ilvl w:val="0"/>
          <w:numId w:val="6"/>
        </w:numPr>
      </w:pPr>
      <w:r>
        <w:t>SCADA integration</w:t>
      </w:r>
    </w:p>
    <w:p w:rsidR="004D072B" w:rsidRDefault="003F4F49">
      <w:pPr>
        <w:pStyle w:val="Compact"/>
        <w:numPr>
          <w:ilvl w:val="0"/>
          <w:numId w:val="6"/>
        </w:numPr>
      </w:pPr>
      <w:r>
        <w:t>OPC-UA connectors</w:t>
      </w:r>
    </w:p>
    <w:p w:rsidR="004D072B" w:rsidRDefault="003F4F49">
      <w:pPr>
        <w:pStyle w:val="Compact"/>
        <w:numPr>
          <w:ilvl w:val="0"/>
          <w:numId w:val="6"/>
        </w:numPr>
      </w:pPr>
      <w:r>
        <w:t>Kafka event streaming</w:t>
      </w:r>
    </w:p>
    <w:p w:rsidR="004D072B" w:rsidRDefault="003F4F49">
      <w:pPr>
        <w:pStyle w:val="Compact"/>
        <w:numPr>
          <w:ilvl w:val="0"/>
          <w:numId w:val="6"/>
        </w:numPr>
      </w:pPr>
      <w:r>
        <w:t>Manufacturing data governance</w:t>
      </w:r>
    </w:p>
    <w:p w:rsidR="004D072B" w:rsidRDefault="001C6C15">
      <w:r>
        <w:pict>
          <v:rect id="_x0000_i1032" style="width:0;height:1.5pt" o:hralign="center" o:hrstd="t" o:hr="t"/>
        </w:pict>
      </w:r>
    </w:p>
    <w:p w:rsidR="004D072B" w:rsidRDefault="003F4F49">
      <w:pPr>
        <w:pStyle w:val="Heading2"/>
      </w:pPr>
      <w:bookmarkStart w:id="21" w:name="current-status"/>
      <w:bookmarkEnd w:id="15"/>
      <w:bookmarkEnd w:id="20"/>
      <w:r>
        <w:t>Current Status</w:t>
      </w:r>
    </w:p>
    <w:p w:rsidR="004D072B" w:rsidRDefault="003F4F49">
      <w:pPr>
        <w:pStyle w:val="FirstParagraph"/>
      </w:pPr>
      <w:r>
        <w:t>Status: Operational</w:t>
      </w:r>
    </w:p>
    <w:p w:rsidR="004D072B" w:rsidRDefault="003F4F49">
      <w:pPr>
        <w:pStyle w:val="BodyText"/>
      </w:pPr>
      <w:r>
        <w:t>Validated Components:</w:t>
      </w:r>
    </w:p>
    <w:p w:rsidR="004D072B" w:rsidRDefault="003F4F49">
      <w:pPr>
        <w:pStyle w:val="Compact"/>
        <w:numPr>
          <w:ilvl w:val="0"/>
          <w:numId w:val="7"/>
        </w:numPr>
      </w:pPr>
      <w:r>
        <w:t>PredictionService communication</w:t>
      </w:r>
    </w:p>
    <w:p w:rsidR="004D072B" w:rsidRDefault="003F4F49">
      <w:pPr>
        <w:pStyle w:val="Compact"/>
        <w:numPr>
          <w:ilvl w:val="0"/>
          <w:numId w:val="7"/>
        </w:numPr>
      </w:pPr>
      <w:r>
        <w:t>Health monitoring</w:t>
      </w:r>
    </w:p>
    <w:p w:rsidR="004D072B" w:rsidRDefault="003F4F49">
      <w:pPr>
        <w:pStyle w:val="Compact"/>
        <w:numPr>
          <w:ilvl w:val="0"/>
          <w:numId w:val="7"/>
        </w:numPr>
      </w:pPr>
      <w:r>
        <w:t>PostgreSQL persistence</w:t>
      </w:r>
    </w:p>
    <w:p w:rsidR="004D072B" w:rsidRDefault="003F4F49">
      <w:pPr>
        <w:pStyle w:val="Compact"/>
        <w:numPr>
          <w:ilvl w:val="0"/>
          <w:numId w:val="7"/>
        </w:numPr>
      </w:pPr>
      <w:r>
        <w:t>API security</w:t>
      </w:r>
    </w:p>
    <w:p w:rsidR="004D072B" w:rsidRDefault="003F4F49">
      <w:pPr>
        <w:pStyle w:val="Compact"/>
        <w:numPr>
          <w:ilvl w:val="0"/>
          <w:numId w:val="7"/>
        </w:numPr>
      </w:pPr>
      <w:r>
        <w:t>Feature mapping</w:t>
      </w:r>
    </w:p>
    <w:p w:rsidR="004D072B" w:rsidRDefault="003F4F49">
      <w:pPr>
        <w:pStyle w:val="Compact"/>
        <w:numPr>
          <w:ilvl w:val="0"/>
          <w:numId w:val="7"/>
        </w:numPr>
      </w:pPr>
      <w:r>
        <w:t>Swagger documentation</w:t>
      </w:r>
    </w:p>
    <w:p w:rsidR="004D072B" w:rsidRDefault="003F4F49">
      <w:pPr>
        <w:pStyle w:val="Compact"/>
        <w:numPr>
          <w:ilvl w:val="0"/>
          <w:numId w:val="7"/>
        </w:numPr>
      </w:pPr>
      <w:r>
        <w:t>GUIService coexistence</w:t>
      </w:r>
    </w:p>
    <w:p w:rsidR="004D072B" w:rsidRDefault="003F4F49">
      <w:pPr>
        <w:pStyle w:val="FirstParagraph"/>
      </w:pPr>
      <w:r>
        <w:t>The MDF1 platform now follows a production-oriented microservice architecture where MES integration, machine learning inference, explainability, and visualization are independently deployable services.</w:t>
      </w:r>
      <w:bookmarkEnd w:id="0"/>
      <w:bookmarkEnd w:id="21"/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Default="001C6C15" w:rsidP="001C6C15">
      <w:pPr>
        <w:pStyle w:val="BodyText"/>
      </w:pP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lastRenderedPageBreak/>
        <w:t>┌─────────────────────┐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│      </w:t>
      </w:r>
      <w:proofErr w:type="spellStart"/>
      <w:r w:rsidRPr="001C6C15">
        <w:rPr>
          <w:sz w:val="16"/>
          <w:szCs w:val="16"/>
        </w:rPr>
        <w:t>LiraMES</w:t>
      </w:r>
      <w:proofErr w:type="spellEnd"/>
      <w:r w:rsidRPr="001C6C15">
        <w:rPr>
          <w:sz w:val="16"/>
          <w:szCs w:val="16"/>
        </w:rPr>
        <w:t xml:space="preserve">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proofErr w:type="gramStart"/>
      <w:r w:rsidRPr="001C6C15">
        <w:rPr>
          <w:sz w:val="16"/>
          <w:szCs w:val="16"/>
        </w:rPr>
        <w:t>│  Production</w:t>
      </w:r>
      <w:proofErr w:type="gramEnd"/>
      <w:r w:rsidRPr="001C6C15">
        <w:rPr>
          <w:sz w:val="16"/>
          <w:szCs w:val="16"/>
        </w:rPr>
        <w:t xml:space="preserve"> System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└──────────┬──────────┘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           ▼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┌─────────────────────┐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│ </w:t>
      </w:r>
      <w:proofErr w:type="spellStart"/>
      <w:r w:rsidRPr="001C6C15">
        <w:rPr>
          <w:sz w:val="16"/>
          <w:szCs w:val="16"/>
        </w:rPr>
        <w:t>MESIntegrationSvc</w:t>
      </w:r>
      <w:proofErr w:type="spellEnd"/>
      <w:r w:rsidRPr="001C6C15">
        <w:rPr>
          <w:sz w:val="16"/>
          <w:szCs w:val="16"/>
        </w:rPr>
        <w:t xml:space="preserve">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     :19832 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├─────────────────────┤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API Security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Feature Mapping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MES Validation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Traceability Logs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Health Monitoring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└──────────┬──────────┘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           ▼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┌─────────────────────┐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│ </w:t>
      </w:r>
      <w:proofErr w:type="spellStart"/>
      <w:r w:rsidRPr="001C6C15">
        <w:rPr>
          <w:sz w:val="16"/>
          <w:szCs w:val="16"/>
        </w:rPr>
        <w:t>PredictionService</w:t>
      </w:r>
      <w:proofErr w:type="spellEnd"/>
      <w:r w:rsidRPr="001C6C15">
        <w:rPr>
          <w:sz w:val="16"/>
          <w:szCs w:val="16"/>
        </w:rPr>
        <w:t xml:space="preserve">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     :19831 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├─────────────────────┤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Model Registry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│ SHAP </w:t>
      </w:r>
      <w:proofErr w:type="spellStart"/>
      <w:r w:rsidRPr="001C6C15">
        <w:rPr>
          <w:sz w:val="16"/>
          <w:szCs w:val="16"/>
        </w:rPr>
        <w:t>Explainability</w:t>
      </w:r>
      <w:proofErr w:type="spellEnd"/>
      <w:r w:rsidRPr="001C6C15">
        <w:rPr>
          <w:sz w:val="16"/>
          <w:szCs w:val="16"/>
        </w:rPr>
        <w:t xml:space="preserve">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Risk Engine 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Recommendation Eng.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Ensemble Serving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└──────────┬──────────┘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           ▼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┌─────────────────────┐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PostgreSQL  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├─────────────────────┤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│ </w:t>
      </w:r>
      <w:proofErr w:type="spellStart"/>
      <w:r w:rsidRPr="001C6C15">
        <w:rPr>
          <w:sz w:val="16"/>
          <w:szCs w:val="16"/>
        </w:rPr>
        <w:t>prediction_log</w:t>
      </w:r>
      <w:proofErr w:type="spellEnd"/>
      <w:r w:rsidRPr="001C6C15">
        <w:rPr>
          <w:sz w:val="16"/>
          <w:szCs w:val="16"/>
        </w:rPr>
        <w:t xml:space="preserve">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│ </w:t>
      </w:r>
      <w:proofErr w:type="spellStart"/>
      <w:r w:rsidRPr="001C6C15">
        <w:rPr>
          <w:sz w:val="16"/>
          <w:szCs w:val="16"/>
        </w:rPr>
        <w:t>mes_prediction_logs</w:t>
      </w:r>
      <w:proofErr w:type="spellEnd"/>
      <w:r w:rsidRPr="001C6C15">
        <w:rPr>
          <w:sz w:val="16"/>
          <w:szCs w:val="16"/>
        </w:rPr>
        <w:t xml:space="preserve">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└──────────┬──────────┘</w:t>
      </w:r>
      <w:r>
        <w:rPr>
          <w:sz w:val="16"/>
          <w:szCs w:val="16"/>
        </w:rPr>
        <w:t xml:space="preserve"> 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           ▼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┌─────────────────────┐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 xml:space="preserve">│ </w:t>
      </w:r>
      <w:proofErr w:type="spellStart"/>
      <w:r w:rsidRPr="001C6C15">
        <w:rPr>
          <w:sz w:val="16"/>
          <w:szCs w:val="16"/>
        </w:rPr>
        <w:t>GUIService</w:t>
      </w:r>
      <w:proofErr w:type="spellEnd"/>
      <w:r w:rsidRPr="001C6C15">
        <w:rPr>
          <w:sz w:val="16"/>
          <w:szCs w:val="16"/>
        </w:rPr>
        <w:t xml:space="preserve">  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     :8001  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├─────────────────────┤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Manual Prediction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Simulation  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History             │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r w:rsidRPr="001C6C15">
        <w:rPr>
          <w:sz w:val="16"/>
          <w:szCs w:val="16"/>
        </w:rPr>
        <w:t>│ Dashboard           │</w:t>
      </w:r>
    </w:p>
    <w:p w:rsidR="001C6C15" w:rsidRDefault="001C6C15" w:rsidP="001C6C15">
      <w:pPr>
        <w:pStyle w:val="Heading3"/>
      </w:pPr>
      <w:proofErr w:type="spellStart"/>
      <w:r>
        <w:lastRenderedPageBreak/>
        <w:t>TrainingService</w:t>
      </w:r>
      <w:proofErr w:type="spellEnd"/>
    </w:p>
    <w:p w:rsidR="001C6C15" w:rsidRDefault="001C6C15" w:rsidP="001C6C15">
      <w:pPr>
        <w:numPr>
          <w:ilvl w:val="0"/>
          <w:numId w:val="8"/>
        </w:numPr>
        <w:spacing w:before="100" w:beforeAutospacing="1" w:after="100" w:afterAutospacing="1"/>
      </w:pPr>
      <w:r>
        <w:t xml:space="preserve">EDA </w:t>
      </w:r>
    </w:p>
    <w:p w:rsidR="001C6C15" w:rsidRDefault="001C6C15" w:rsidP="001C6C15">
      <w:pPr>
        <w:numPr>
          <w:ilvl w:val="0"/>
          <w:numId w:val="8"/>
        </w:numPr>
        <w:spacing w:before="100" w:beforeAutospacing="1" w:after="100" w:afterAutospacing="1"/>
      </w:pPr>
      <w:r>
        <w:t xml:space="preserve">Validation </w:t>
      </w:r>
    </w:p>
    <w:p w:rsidR="001C6C15" w:rsidRDefault="001C6C15" w:rsidP="001C6C15">
      <w:pPr>
        <w:numPr>
          <w:ilvl w:val="0"/>
          <w:numId w:val="8"/>
        </w:numPr>
        <w:spacing w:before="100" w:beforeAutospacing="1" w:after="100" w:afterAutospacing="1"/>
      </w:pPr>
      <w:r>
        <w:t xml:space="preserve">Feature governance </w:t>
      </w:r>
    </w:p>
    <w:p w:rsidR="001C6C15" w:rsidRDefault="001C6C15" w:rsidP="001C6C15">
      <w:pPr>
        <w:numPr>
          <w:ilvl w:val="0"/>
          <w:numId w:val="8"/>
        </w:numPr>
        <w:spacing w:before="100" w:beforeAutospacing="1" w:after="100" w:afterAutospacing="1"/>
      </w:pPr>
      <w:r>
        <w:t xml:space="preserve">Time-based validation </w:t>
      </w:r>
    </w:p>
    <w:p w:rsidR="001C6C15" w:rsidRDefault="001C6C15" w:rsidP="001C6C15">
      <w:pPr>
        <w:numPr>
          <w:ilvl w:val="0"/>
          <w:numId w:val="8"/>
        </w:numPr>
        <w:spacing w:before="100" w:beforeAutospacing="1" w:after="100" w:afterAutospacing="1"/>
      </w:pPr>
      <w:r>
        <w:t xml:space="preserve">Model selection </w:t>
      </w:r>
    </w:p>
    <w:p w:rsidR="001C6C15" w:rsidRDefault="001C6C15" w:rsidP="001C6C15">
      <w:pPr>
        <w:numPr>
          <w:ilvl w:val="0"/>
          <w:numId w:val="8"/>
        </w:numPr>
        <w:spacing w:before="100" w:beforeAutospacing="1" w:after="100" w:afterAutospacing="1"/>
      </w:pPr>
      <w:r>
        <w:t xml:space="preserve">Ensemble selection </w:t>
      </w:r>
    </w:p>
    <w:p w:rsidR="001C6C15" w:rsidRDefault="001C6C15" w:rsidP="001C6C15">
      <w:pPr>
        <w:numPr>
          <w:ilvl w:val="0"/>
          <w:numId w:val="8"/>
        </w:numPr>
        <w:spacing w:before="100" w:beforeAutospacing="1" w:after="100" w:afterAutospacing="1"/>
      </w:pPr>
      <w:r>
        <w:t xml:space="preserve">Registry generation </w:t>
      </w:r>
    </w:p>
    <w:p w:rsidR="001C6C15" w:rsidRDefault="001C6C15" w:rsidP="001C6C15">
      <w:pPr>
        <w:numPr>
          <w:ilvl w:val="0"/>
          <w:numId w:val="8"/>
        </w:numPr>
        <w:spacing w:before="100" w:beforeAutospacing="1" w:after="100" w:afterAutospacing="1"/>
      </w:pPr>
      <w:r>
        <w:t xml:space="preserve">Artifact versioning </w:t>
      </w:r>
    </w:p>
    <w:p w:rsidR="001C6C15" w:rsidRDefault="001C6C15" w:rsidP="001C6C15">
      <w:pPr>
        <w:pStyle w:val="Heading3"/>
      </w:pPr>
      <w:proofErr w:type="spellStart"/>
      <w:r>
        <w:t>PredictionService</w:t>
      </w:r>
      <w:proofErr w:type="spellEnd"/>
    </w:p>
    <w:p w:rsidR="001C6C15" w:rsidRDefault="001C6C15" w:rsidP="001C6C15">
      <w:pPr>
        <w:numPr>
          <w:ilvl w:val="0"/>
          <w:numId w:val="9"/>
        </w:numPr>
        <w:spacing w:before="100" w:beforeAutospacing="1" w:after="100" w:afterAutospacing="1"/>
      </w:pPr>
      <w:r>
        <w:t xml:space="preserve">Registry-driven serving </w:t>
      </w:r>
    </w:p>
    <w:p w:rsidR="001C6C15" w:rsidRDefault="001C6C15" w:rsidP="001C6C15">
      <w:pPr>
        <w:numPr>
          <w:ilvl w:val="0"/>
          <w:numId w:val="9"/>
        </w:numPr>
        <w:spacing w:before="100" w:beforeAutospacing="1" w:after="100" w:afterAutospacing="1"/>
      </w:pPr>
      <w:r>
        <w:t xml:space="preserve">Single model prediction </w:t>
      </w:r>
    </w:p>
    <w:p w:rsidR="001C6C15" w:rsidRDefault="001C6C15" w:rsidP="001C6C15">
      <w:pPr>
        <w:numPr>
          <w:ilvl w:val="0"/>
          <w:numId w:val="9"/>
        </w:numPr>
        <w:spacing w:before="100" w:beforeAutospacing="1" w:after="100" w:afterAutospacing="1"/>
      </w:pPr>
      <w:r>
        <w:t xml:space="preserve">Weighted ensemble prediction </w:t>
      </w:r>
    </w:p>
    <w:p w:rsidR="001C6C15" w:rsidRDefault="001C6C15" w:rsidP="001C6C15">
      <w:pPr>
        <w:numPr>
          <w:ilvl w:val="0"/>
          <w:numId w:val="9"/>
        </w:numPr>
        <w:spacing w:before="100" w:beforeAutospacing="1" w:after="100" w:afterAutospacing="1"/>
      </w:pPr>
      <w:r>
        <w:t xml:space="preserve">SHAP </w:t>
      </w:r>
      <w:proofErr w:type="spellStart"/>
      <w:r>
        <w:t>explainability</w:t>
      </w:r>
      <w:proofErr w:type="spellEnd"/>
      <w:r>
        <w:t xml:space="preserve"> </w:t>
      </w:r>
    </w:p>
    <w:p w:rsidR="001C6C15" w:rsidRDefault="001C6C15" w:rsidP="001C6C15">
      <w:pPr>
        <w:numPr>
          <w:ilvl w:val="0"/>
          <w:numId w:val="9"/>
        </w:numPr>
        <w:spacing w:before="100" w:beforeAutospacing="1" w:after="100" w:afterAutospacing="1"/>
      </w:pPr>
      <w:r>
        <w:t xml:space="preserve">Risk assessment </w:t>
      </w:r>
    </w:p>
    <w:p w:rsidR="001C6C15" w:rsidRDefault="001C6C15" w:rsidP="001C6C15">
      <w:pPr>
        <w:numPr>
          <w:ilvl w:val="0"/>
          <w:numId w:val="9"/>
        </w:numPr>
        <w:spacing w:before="100" w:beforeAutospacing="1" w:after="100" w:afterAutospacing="1"/>
      </w:pPr>
      <w:r>
        <w:t xml:space="preserve">Recommendation generation </w:t>
      </w:r>
    </w:p>
    <w:p w:rsidR="001C6C15" w:rsidRDefault="001C6C15" w:rsidP="001C6C15">
      <w:pPr>
        <w:numPr>
          <w:ilvl w:val="0"/>
          <w:numId w:val="9"/>
        </w:numPr>
        <w:spacing w:before="100" w:beforeAutospacing="1" w:after="100" w:afterAutospacing="1"/>
      </w:pPr>
      <w:r>
        <w:t xml:space="preserve">Health endpoint </w:t>
      </w:r>
    </w:p>
    <w:p w:rsidR="001C6C15" w:rsidRDefault="001C6C15" w:rsidP="001C6C15">
      <w:pPr>
        <w:pStyle w:val="Heading3"/>
      </w:pPr>
      <w:proofErr w:type="spellStart"/>
      <w:r>
        <w:t>GUIService</w:t>
      </w:r>
      <w:proofErr w:type="spellEnd"/>
    </w:p>
    <w:p w:rsidR="001C6C15" w:rsidRDefault="001C6C15" w:rsidP="001C6C15">
      <w:pPr>
        <w:numPr>
          <w:ilvl w:val="0"/>
          <w:numId w:val="10"/>
        </w:numPr>
        <w:spacing w:before="100" w:beforeAutospacing="1" w:after="100" w:afterAutospacing="1"/>
      </w:pPr>
      <w:r>
        <w:t xml:space="preserve">Manual prediction </w:t>
      </w:r>
    </w:p>
    <w:p w:rsidR="001C6C15" w:rsidRDefault="001C6C15" w:rsidP="001C6C15">
      <w:pPr>
        <w:numPr>
          <w:ilvl w:val="0"/>
          <w:numId w:val="10"/>
        </w:numPr>
        <w:spacing w:before="100" w:beforeAutospacing="1" w:after="100" w:afterAutospacing="1"/>
      </w:pPr>
      <w:r>
        <w:t xml:space="preserve">Simulation </w:t>
      </w:r>
    </w:p>
    <w:p w:rsidR="001C6C15" w:rsidRDefault="001C6C15" w:rsidP="001C6C15">
      <w:pPr>
        <w:numPr>
          <w:ilvl w:val="0"/>
          <w:numId w:val="10"/>
        </w:numPr>
        <w:spacing w:before="100" w:beforeAutospacing="1" w:after="100" w:afterAutospacing="1"/>
      </w:pPr>
      <w:r>
        <w:t xml:space="preserve">History </w:t>
      </w:r>
    </w:p>
    <w:p w:rsidR="001C6C15" w:rsidRDefault="001C6C15" w:rsidP="001C6C1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Explainability</w:t>
      </w:r>
      <w:proofErr w:type="spellEnd"/>
      <w:r>
        <w:t xml:space="preserve"> display </w:t>
      </w:r>
    </w:p>
    <w:p w:rsidR="001C6C15" w:rsidRDefault="001C6C15" w:rsidP="001C6C15">
      <w:pPr>
        <w:numPr>
          <w:ilvl w:val="0"/>
          <w:numId w:val="10"/>
        </w:numPr>
        <w:spacing w:before="100" w:beforeAutospacing="1" w:after="100" w:afterAutospacing="1"/>
      </w:pPr>
      <w:r>
        <w:t xml:space="preserve">Operator interface </w:t>
      </w:r>
    </w:p>
    <w:p w:rsidR="001C6C15" w:rsidRDefault="001C6C15" w:rsidP="001C6C15">
      <w:pPr>
        <w:pStyle w:val="Heading3"/>
      </w:pPr>
      <w:proofErr w:type="spellStart"/>
      <w:r>
        <w:t>MESIntegrationService</w:t>
      </w:r>
      <w:proofErr w:type="spellEnd"/>
    </w:p>
    <w:p w:rsidR="001C6C15" w:rsidRDefault="001C6C15" w:rsidP="001C6C15">
      <w:pPr>
        <w:numPr>
          <w:ilvl w:val="0"/>
          <w:numId w:val="11"/>
        </w:numPr>
        <w:spacing w:before="100" w:beforeAutospacing="1" w:after="100" w:afterAutospacing="1"/>
      </w:pPr>
      <w:r>
        <w:t xml:space="preserve">API security </w:t>
      </w:r>
    </w:p>
    <w:p w:rsidR="001C6C15" w:rsidRDefault="001C6C15" w:rsidP="001C6C15">
      <w:pPr>
        <w:numPr>
          <w:ilvl w:val="0"/>
          <w:numId w:val="11"/>
        </w:numPr>
        <w:spacing w:before="100" w:beforeAutospacing="1" w:after="100" w:afterAutospacing="1"/>
      </w:pPr>
      <w:r>
        <w:t xml:space="preserve">MES feature mapping </w:t>
      </w:r>
    </w:p>
    <w:p w:rsidR="001C6C15" w:rsidRDefault="001C6C15" w:rsidP="001C6C15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PredictionService</w:t>
      </w:r>
      <w:proofErr w:type="spellEnd"/>
      <w:r>
        <w:t xml:space="preserve"> communication </w:t>
      </w:r>
    </w:p>
    <w:p w:rsidR="001C6C15" w:rsidRDefault="001C6C15" w:rsidP="001C6C15">
      <w:pPr>
        <w:numPr>
          <w:ilvl w:val="0"/>
          <w:numId w:val="11"/>
        </w:numPr>
        <w:spacing w:before="100" w:beforeAutospacing="1" w:after="100" w:afterAutospacing="1"/>
      </w:pPr>
      <w:r>
        <w:t xml:space="preserve">PostgreSQL traceability </w:t>
      </w:r>
    </w:p>
    <w:p w:rsidR="001C6C15" w:rsidRDefault="001C6C15" w:rsidP="001C6C15">
      <w:pPr>
        <w:numPr>
          <w:ilvl w:val="0"/>
          <w:numId w:val="11"/>
        </w:numPr>
        <w:spacing w:before="100" w:beforeAutospacing="1" w:after="100" w:afterAutospacing="1"/>
      </w:pPr>
      <w:r>
        <w:t xml:space="preserve">Health monitoring </w:t>
      </w:r>
    </w:p>
    <w:p w:rsidR="001C6C15" w:rsidRDefault="001C6C15" w:rsidP="001C6C15">
      <w:pPr>
        <w:numPr>
          <w:ilvl w:val="0"/>
          <w:numId w:val="11"/>
        </w:numPr>
        <w:spacing w:before="100" w:beforeAutospacing="1" w:after="100" w:afterAutospacing="1"/>
      </w:pPr>
      <w:r>
        <w:t>Swagger integration</w:t>
      </w:r>
    </w:p>
    <w:p w:rsidR="001C6C15" w:rsidRPr="001C6C15" w:rsidRDefault="001C6C15" w:rsidP="001C6C15">
      <w:pPr>
        <w:pStyle w:val="BodyText"/>
        <w:rPr>
          <w:sz w:val="16"/>
          <w:szCs w:val="16"/>
        </w:rPr>
      </w:pPr>
      <w:bookmarkStart w:id="22" w:name="_GoBack"/>
      <w:bookmarkEnd w:id="22"/>
    </w:p>
    <w:sectPr w:rsidR="001C6C15" w:rsidRPr="001C6C15" w:rsidSect="001C6C15">
      <w:footnotePr>
        <w:numRestart w:val="eachSect"/>
      </w:footnotePr>
      <w:pgSz w:w="12240" w:h="15840"/>
      <w:pgMar w:top="284" w:right="474" w:bottom="142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B8E31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F4B8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940E9E"/>
    <w:multiLevelType w:val="multilevel"/>
    <w:tmpl w:val="F48A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55007"/>
    <w:multiLevelType w:val="multilevel"/>
    <w:tmpl w:val="A82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74426"/>
    <w:multiLevelType w:val="multilevel"/>
    <w:tmpl w:val="5382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F010A"/>
    <w:multiLevelType w:val="multilevel"/>
    <w:tmpl w:val="133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3"/>
  </w:num>
  <w:num w:numId="9">
    <w:abstractNumId w:val="2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D072B"/>
    <w:rsid w:val="001C6C15"/>
    <w:rsid w:val="003F4F49"/>
    <w:rsid w:val="004D072B"/>
    <w:rsid w:val="00B4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724B"/>
  <w15:docId w15:val="{CDD13280-8502-4F52-A1E9-F4531631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2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873</Words>
  <Characters>4982</Characters>
  <Application>Microsoft Office Word</Application>
  <DocSecurity>0</DocSecurity>
  <Lines>41</Lines>
  <Paragraphs>11</Paragraphs>
  <ScaleCrop>false</ScaleCrop>
  <Company>HP Inc.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Azat, Eda</cp:lastModifiedBy>
  <cp:revision>4</cp:revision>
  <dcterms:created xsi:type="dcterms:W3CDTF">2026-06-15T12:51:00Z</dcterms:created>
  <dcterms:modified xsi:type="dcterms:W3CDTF">2026-06-15T13:19:00Z</dcterms:modified>
</cp:coreProperties>
</file>