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7DC" w:rsidRDefault="00427E45">
      <w:pPr>
        <w:jc w:val="center"/>
        <w:rPr>
          <w:rFonts w:hint="eastAsia"/>
        </w:rPr>
      </w:pPr>
      <w:r>
        <w:rPr>
          <w:b/>
          <w:color w:val="1F4E79"/>
          <w:sz w:val="32"/>
        </w:rPr>
        <w:t>MDF1 ML System — One-Page Build Summary</w:t>
      </w:r>
    </w:p>
    <w:p w:rsidR="00D317DC" w:rsidRDefault="00427E45">
      <w:pPr>
        <w:jc w:val="center"/>
        <w:rPr>
          <w:rFonts w:hint="eastAsia"/>
        </w:rPr>
      </w:pPr>
      <w:r>
        <w:rPr>
          <w:i/>
        </w:rPr>
        <w:t>TrainingService + PredictionService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D317DC">
        <w:trPr>
          <w:jc w:val="center"/>
        </w:trPr>
        <w:tc>
          <w:tcPr>
            <w:tcW w:w="9936" w:type="dxa"/>
            <w:shd w:val="clear" w:color="auto" w:fill="EAF2F8"/>
            <w:vAlign w:val="center"/>
          </w:tcPr>
          <w:p w:rsidR="00D317DC" w:rsidRDefault="00427E45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Executive summary. </w:t>
            </w:r>
            <w:r>
              <w:t>An end-to-end manufacturing ML system for MDF1 has been built and verified: offline training produces governed model artifacts, and a separate FastAPI-based prediction service loads those artifacts and serves real-time predictions through REST endpoints.</w:t>
            </w:r>
          </w:p>
        </w:tc>
      </w:tr>
    </w:tbl>
    <w:p w:rsidR="00D317DC" w:rsidRDefault="00D317D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D317DC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:rsidR="00D317DC" w:rsidRDefault="00427E45">
            <w:pPr>
              <w:rPr>
                <w:rFonts w:hint="eastAsia"/>
              </w:rPr>
            </w:pPr>
            <w:r>
              <w:rPr>
                <w:b/>
              </w:rPr>
              <w:t>What has been built</w:t>
            </w:r>
          </w:p>
        </w:tc>
        <w:tc>
          <w:tcPr>
            <w:tcW w:w="4824" w:type="dxa"/>
            <w:shd w:val="clear" w:color="auto" w:fill="D9EAF7"/>
            <w:vAlign w:val="center"/>
          </w:tcPr>
          <w:p w:rsidR="00D317DC" w:rsidRDefault="00427E45">
            <w:pPr>
              <w:rPr>
                <w:rFonts w:hint="eastAsia"/>
              </w:rPr>
            </w:pPr>
            <w:r>
              <w:rPr>
                <w:b/>
              </w:rPr>
              <w:t>Current proven status</w:t>
            </w:r>
          </w:p>
        </w:tc>
      </w:tr>
      <w:tr w:rsidR="00D317DC">
        <w:trPr>
          <w:jc w:val="center"/>
        </w:trPr>
        <w:tc>
          <w:tcPr>
            <w:tcW w:w="4824" w:type="dxa"/>
            <w:vAlign w:val="center"/>
          </w:tcPr>
          <w:p w:rsidR="00D317DC" w:rsidRDefault="00427E45">
            <w:pPr>
              <w:spacing w:after="40"/>
              <w:rPr>
                <w:rFonts w:hint="eastAsia"/>
              </w:rPr>
            </w:pPr>
            <w:r>
              <w:rPr>
                <w:b/>
                <w:sz w:val="20"/>
              </w:rPr>
              <w:t xml:space="preserve">• ML pipeline: </w:t>
            </w:r>
            <w:r>
              <w:rPr>
                <w:sz w:val="20"/>
              </w:rPr>
              <w:t>KSoft ingestion, validation, cleaning, engineered feature creation, train-only feature selection, time-based split, and target-specific model training.</w:t>
            </w:r>
          </w:p>
        </w:tc>
        <w:tc>
          <w:tcPr>
            <w:tcW w:w="4824" w:type="dxa"/>
            <w:vAlign w:val="center"/>
          </w:tcPr>
          <w:p w:rsidR="00D317DC" w:rsidRDefault="00427E45">
            <w:pPr>
              <w:spacing w:after="40"/>
              <w:rPr>
                <w:rFonts w:hint="eastAsia"/>
              </w:rPr>
            </w:pPr>
            <w:r>
              <w:rPr>
                <w:b/>
                <w:sz w:val="20"/>
              </w:rPr>
              <w:t xml:space="preserve">• Model serving: </w:t>
            </w:r>
            <w:r>
              <w:rPr>
                <w:sz w:val="20"/>
              </w:rPr>
              <w:t>PredictionService successfully loads approved artifact bundles, aligns request features to the saved feature order, and returns live predictions.</w:t>
            </w:r>
          </w:p>
        </w:tc>
      </w:tr>
      <w:tr w:rsidR="00D317DC">
        <w:trPr>
          <w:jc w:val="center"/>
        </w:trPr>
        <w:tc>
          <w:tcPr>
            <w:tcW w:w="4824" w:type="dxa"/>
            <w:vAlign w:val="center"/>
          </w:tcPr>
          <w:p w:rsidR="00D317DC" w:rsidRDefault="00427E45">
            <w:pPr>
              <w:spacing w:after="40"/>
              <w:rPr>
                <w:rFonts w:hint="eastAsia"/>
              </w:rPr>
            </w:pPr>
            <w:r>
              <w:rPr>
                <w:b/>
                <w:sz w:val="20"/>
              </w:rPr>
              <w:t xml:space="preserve">• Production artifacts: </w:t>
            </w:r>
            <w:r>
              <w:rPr>
                <w:sz w:val="20"/>
              </w:rPr>
              <w:t>Per-model artifact bundles with model.joblib, features.json, metrics.json, metadata.json, and feature importance outputs for RF.</w:t>
            </w:r>
          </w:p>
        </w:tc>
        <w:tc>
          <w:tcPr>
            <w:tcW w:w="4824" w:type="dxa"/>
            <w:vAlign w:val="center"/>
          </w:tcPr>
          <w:p w:rsidR="00D317DC" w:rsidRDefault="00427E45">
            <w:pPr>
              <w:spacing w:after="40"/>
              <w:rPr>
                <w:rFonts w:hint="eastAsia"/>
              </w:rPr>
            </w:pPr>
            <w:r>
              <w:rPr>
                <w:b/>
                <w:sz w:val="20"/>
              </w:rPr>
              <w:t xml:space="preserve">• Feature governance: </w:t>
            </w:r>
            <w:r>
              <w:rPr>
                <w:sz w:val="20"/>
              </w:rPr>
              <w:t>Inference uses the exact features.json saved during training; missing request fields are tracked and filled consistently for safe model input.</w:t>
            </w:r>
          </w:p>
        </w:tc>
      </w:tr>
      <w:tr w:rsidR="00D317DC">
        <w:trPr>
          <w:jc w:val="center"/>
        </w:trPr>
        <w:tc>
          <w:tcPr>
            <w:tcW w:w="4824" w:type="dxa"/>
            <w:vAlign w:val="center"/>
          </w:tcPr>
          <w:p w:rsidR="00D317DC" w:rsidRDefault="00427E45">
            <w:pPr>
              <w:spacing w:after="40"/>
              <w:rPr>
                <w:rFonts w:hint="eastAsia"/>
              </w:rPr>
            </w:pPr>
            <w:r>
              <w:rPr>
                <w:b/>
                <w:sz w:val="20"/>
              </w:rPr>
              <w:t xml:space="preserve">• REST API: </w:t>
            </w:r>
            <w:r>
              <w:rPr>
                <w:sz w:val="20"/>
              </w:rPr>
              <w:t>FastAPI service with /health, /models, and /predict endpoints plus Swagger UI for interactive testing.</w:t>
            </w:r>
          </w:p>
        </w:tc>
        <w:tc>
          <w:tcPr>
            <w:tcW w:w="4824" w:type="dxa"/>
            <w:vAlign w:val="center"/>
          </w:tcPr>
          <w:p w:rsidR="00D317DC" w:rsidRDefault="00427E45">
            <w:pPr>
              <w:spacing w:after="40"/>
              <w:rPr>
                <w:rFonts w:hint="eastAsia"/>
              </w:rPr>
            </w:pPr>
            <w:r>
              <w:rPr>
                <w:b/>
                <w:sz w:val="20"/>
              </w:rPr>
              <w:t xml:space="preserve">• Validation evidence: </w:t>
            </w:r>
            <w:r>
              <w:rPr>
                <w:sz w:val="20"/>
              </w:rPr>
              <w:t>Health endpoint passed, /predict returned HTTP 200, and real prediction responses were successfully served from the deployed API.</w:t>
            </w:r>
          </w:p>
        </w:tc>
      </w:tr>
    </w:tbl>
    <w:p w:rsidR="00D317DC" w:rsidRDefault="00D317DC">
      <w:pPr>
        <w:rPr>
          <w:rFonts w:hint="eastAsia"/>
        </w:rPr>
      </w:pPr>
    </w:p>
    <w:p w:rsidR="00D317DC" w:rsidRDefault="00427E45">
      <w:pPr>
        <w:rPr>
          <w:rFonts w:hint="eastAsia"/>
        </w:rPr>
      </w:pPr>
      <w:r>
        <w:rPr>
          <w:b/>
          <w:color w:val="1F4E79"/>
          <w:sz w:val="22"/>
        </w:rPr>
        <w:t>Current best baseline results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1728"/>
        <w:gridCol w:w="1584"/>
        <w:gridCol w:w="2304"/>
      </w:tblGrid>
      <w:tr w:rsidR="00D317DC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D317DC" w:rsidRDefault="00427E45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Target</w:t>
            </w:r>
          </w:p>
        </w:tc>
        <w:tc>
          <w:tcPr>
            <w:tcW w:w="1728" w:type="dxa"/>
            <w:shd w:val="clear" w:color="auto" w:fill="D9EAF7"/>
            <w:vAlign w:val="center"/>
          </w:tcPr>
          <w:p w:rsidR="00D317DC" w:rsidRDefault="00427E45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584" w:type="dxa"/>
            <w:shd w:val="clear" w:color="auto" w:fill="D9EAF7"/>
            <w:vAlign w:val="center"/>
          </w:tcPr>
          <w:p w:rsidR="00D317DC" w:rsidRDefault="00427E45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Test R²</w:t>
            </w:r>
          </w:p>
        </w:tc>
        <w:tc>
          <w:tcPr>
            <w:tcW w:w="2304" w:type="dxa"/>
            <w:shd w:val="clear" w:color="auto" w:fill="D9EAF7"/>
            <w:vAlign w:val="center"/>
          </w:tcPr>
          <w:p w:rsidR="00D317DC" w:rsidRDefault="00427E45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D317DC">
        <w:trPr>
          <w:jc w:val="center"/>
        </w:trPr>
        <w:tc>
          <w:tcPr>
            <w:tcW w:w="3312" w:type="dxa"/>
            <w:vAlign w:val="center"/>
          </w:tcPr>
          <w:p w:rsidR="00D317DC" w:rsidRDefault="00427E45">
            <w:pPr>
              <w:rPr>
                <w:rFonts w:hint="eastAsia"/>
              </w:rPr>
            </w:pPr>
            <w:r>
              <w:rPr>
                <w:sz w:val="20"/>
              </w:rPr>
              <w:t>labDensityAverage</w:t>
            </w:r>
          </w:p>
        </w:tc>
        <w:tc>
          <w:tcPr>
            <w:tcW w:w="1728" w:type="dxa"/>
            <w:vAlign w:val="center"/>
          </w:tcPr>
          <w:p w:rsidR="00D317DC" w:rsidRDefault="00427E4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RF</w:t>
            </w:r>
          </w:p>
        </w:tc>
        <w:tc>
          <w:tcPr>
            <w:tcW w:w="1584" w:type="dxa"/>
            <w:vAlign w:val="center"/>
          </w:tcPr>
          <w:p w:rsidR="00D317DC" w:rsidRDefault="00427E4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0.6905</w:t>
            </w:r>
          </w:p>
        </w:tc>
        <w:tc>
          <w:tcPr>
            <w:tcW w:w="2304" w:type="dxa"/>
            <w:vAlign w:val="center"/>
          </w:tcPr>
          <w:p w:rsidR="00D317DC" w:rsidRDefault="00427E45">
            <w:pPr>
              <w:rPr>
                <w:rFonts w:hint="eastAsia"/>
              </w:rPr>
            </w:pPr>
            <w:r>
              <w:rPr>
                <w:sz w:val="20"/>
              </w:rPr>
              <w:t>Best current bundle: labDensityAverage_rf_v1</w:t>
            </w:r>
          </w:p>
        </w:tc>
      </w:tr>
      <w:tr w:rsidR="00D317DC">
        <w:trPr>
          <w:jc w:val="center"/>
        </w:trPr>
        <w:tc>
          <w:tcPr>
            <w:tcW w:w="3312" w:type="dxa"/>
            <w:vAlign w:val="center"/>
          </w:tcPr>
          <w:p w:rsidR="00D317DC" w:rsidRDefault="00427E45">
            <w:pPr>
              <w:rPr>
                <w:rFonts w:hint="eastAsia"/>
              </w:rPr>
            </w:pPr>
            <w:r>
              <w:rPr>
                <w:sz w:val="20"/>
              </w:rPr>
              <w:t>labBendingAvg</w:t>
            </w:r>
          </w:p>
        </w:tc>
        <w:tc>
          <w:tcPr>
            <w:tcW w:w="1728" w:type="dxa"/>
            <w:vAlign w:val="center"/>
          </w:tcPr>
          <w:p w:rsidR="00D317DC" w:rsidRDefault="00427E4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RF</w:t>
            </w:r>
          </w:p>
        </w:tc>
        <w:tc>
          <w:tcPr>
            <w:tcW w:w="1584" w:type="dxa"/>
            <w:vAlign w:val="center"/>
          </w:tcPr>
          <w:p w:rsidR="00D317DC" w:rsidRDefault="00427E4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0.6923</w:t>
            </w:r>
          </w:p>
        </w:tc>
        <w:tc>
          <w:tcPr>
            <w:tcW w:w="2304" w:type="dxa"/>
            <w:vAlign w:val="center"/>
          </w:tcPr>
          <w:p w:rsidR="00D317DC" w:rsidRDefault="00427E45">
            <w:pPr>
              <w:rPr>
                <w:rFonts w:hint="eastAsia"/>
              </w:rPr>
            </w:pPr>
            <w:r>
              <w:rPr>
                <w:sz w:val="20"/>
              </w:rPr>
              <w:t>Best current bundle: labBendingAvg_rf_v1</w:t>
            </w:r>
          </w:p>
        </w:tc>
      </w:tr>
    </w:tbl>
    <w:p w:rsidR="00D317DC" w:rsidRDefault="00D317DC">
      <w:pPr>
        <w:rPr>
          <w:rFonts w:hint="eastAsia"/>
        </w:rPr>
      </w:pPr>
    </w:p>
    <w:p w:rsidR="00D317DC" w:rsidRDefault="00427E45" w:rsidP="0079591B">
      <w:pPr>
        <w:spacing w:before="40" w:after="0"/>
        <w:rPr>
          <w:rFonts w:hint="eastAsia"/>
        </w:rPr>
      </w:pPr>
      <w:r>
        <w:rPr>
          <w:b/>
        </w:rPr>
        <w:t xml:space="preserve">Next </w:t>
      </w:r>
      <w:r w:rsidR="0079591B">
        <w:rPr>
          <w:b/>
        </w:rPr>
        <w:t xml:space="preserve">POSSIBLE </w:t>
      </w:r>
      <w:r>
        <w:rPr>
          <w:b/>
        </w:rPr>
        <w:t xml:space="preserve">step: </w:t>
      </w:r>
      <w:r>
        <w:t>stabilize the API further with model listing, default model handling, and deployment packaging (for example Docker) while keeping</w:t>
      </w:r>
      <w:bookmarkStart w:id="0" w:name="_GoBack"/>
      <w:bookmarkEnd w:id="0"/>
      <w:r>
        <w:t xml:space="preserve"> TrainingService and PredictionService separated.</w:t>
      </w:r>
    </w:p>
    <w:sectPr w:rsidR="00D317D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E45"/>
    <w:rsid w:val="0079591B"/>
    <w:rsid w:val="007A7C54"/>
    <w:rsid w:val="00AA1D8D"/>
    <w:rsid w:val="00B47730"/>
    <w:rsid w:val="00CB0664"/>
    <w:rsid w:val="00D31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925A5"/>
  <w14:defaultImageDpi w14:val="300"/>
  <w15:docId w15:val="{5CC891D0-1F69-4C02-88D8-1EB7000D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476192-4F4E-41FB-9B5A-88BBCA842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Azat, Eda</cp:lastModifiedBy>
  <cp:revision>4</cp:revision>
  <dcterms:created xsi:type="dcterms:W3CDTF">2026-04-09T12:16:00Z</dcterms:created>
  <dcterms:modified xsi:type="dcterms:W3CDTF">2026-04-09T14:13:00Z</dcterms:modified>
  <cp:category/>
</cp:coreProperties>
</file>