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l7c0uxkr9cku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Data Grouping and Risk Differentiation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3d2tzjpi1sx6" w:id="1"/>
      <w:bookmarkEnd w:id="1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Initial Grouping Strategy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We implemented two categorical variables for our GLM analysis: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1. NumberOfPersons (NoPGroup)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- 6 groups based on company size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2. ActivityCode (ActivityGroup)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- 3 groups based on business sector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9vq9vwbkttzy" w:id="2"/>
      <w:bookmarkEnd w:id="2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Analysis of Initial Groups</w:t>
      </w:r>
    </w:p>
    <w:p w:rsidR="00000000" w:rsidDel="00000000" w:rsidP="00000000" w:rsidRDefault="00000000" w:rsidRPr="00000000" w14:paraId="00000006">
      <w:pPr>
        <w:pStyle w:val="Heading4"/>
        <w:keepNext w:val="0"/>
        <w:keepLines w:val="0"/>
        <w:spacing w:after="40" w:before="240" w:lineRule="auto"/>
        <w:rPr>
          <w:rFonts w:ascii="Cambria" w:cs="Cambria" w:eastAsia="Cambria" w:hAnsi="Cambria"/>
          <w:b w:val="1"/>
          <w:bCs w:val="1"/>
          <w:color w:val="000000"/>
          <w:sz w:val="22"/>
          <w:szCs w:val="22"/>
        </w:rPr>
      </w:pPr>
      <w:bookmarkStart w:colFirst="0" w:colLast="0" w:name="_sf7gfazf40v6" w:id="3"/>
      <w:bookmarkEnd w:id="3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2"/>
          <w:szCs w:val="22"/>
          <w:rtl w:val="0"/>
        </w:rPr>
        <w:t xml:space="preserve">NumberOfPersons Groups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aggregated statistics reveal the following distribution:</w:t>
      </w:r>
    </w:p>
    <w:tbl>
      <w:tblPr>
        <w:tblStyle w:val="Table1"/>
        <w:tblW w:w="9025.5118110236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82.0852828179088"/>
        <w:gridCol w:w="1865.1755487085852"/>
        <w:gridCol w:w="920.4762448172239"/>
        <w:gridCol w:w="1283.8221309292862"/>
        <w:gridCol w:w="1501.8296625965236"/>
        <w:gridCol w:w="2272.122941154095"/>
        <w:tblGridChange w:id="0">
          <w:tblGrid>
            <w:gridCol w:w="1182.0852828179088"/>
            <w:gridCol w:w="1865.1755487085852"/>
            <w:gridCol w:w="920.4762448172239"/>
            <w:gridCol w:w="1283.8221309292862"/>
            <w:gridCol w:w="1501.8296625965236"/>
            <w:gridCol w:w="2272.1229411540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Duration (years)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Claims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Avg Cost (€)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Yearly Cost (€/year)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01. &lt;2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18,802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44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0.0023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6,484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02. 2-4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27,356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62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0.0023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9,241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03. 5-14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14,704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71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0.0048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19,481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94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04. 15-49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7,201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75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0.0104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16,241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169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05. 50-99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2,068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38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0.0184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24,186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444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06. &gt;=100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3,377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219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0.0648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12,494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810</w:t>
            </w:r>
          </w:p>
        </w:tc>
      </w:tr>
    </w:tbl>
    <w:p w:rsidR="00000000" w:rsidDel="00000000" w:rsidP="00000000" w:rsidRDefault="00000000" w:rsidRPr="00000000" w14:paraId="00000032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</w:rPr>
        <w:drawing>
          <wp:inline distB="114300" distT="114300" distL="114300" distR="114300">
            <wp:extent cx="5731200" cy="13462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Observations: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Clear Risk Progression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The frequency increases monotonically from small companies (0.0023) to large companies (0.0648), demonstrating a 28-fold difference in claim frequency between the smallest and largest groups.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All Groups Have Claims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Each group contains at least 38 claims, satisfying the requirement for stable GLM estimation.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Sufficient Exposure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The smallest group (05. 50-99) has 2,068 years of exposure, which is acceptable for our analysis.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Identified Issue: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Groups 01 (&lt;2 persons) and 02 (2-4 persons) exhibit identical claim frequencies (0.0023 claims per year). This suggests these two groups are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risk homogeneous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and should potentially be merged. The GLM will assign them nearly identical risk factors, making the distinction unnecessary and reducing model efficiency.</w:t>
      </w:r>
    </w:p>
    <w:p w:rsidR="00000000" w:rsidDel="00000000" w:rsidP="00000000" w:rsidRDefault="00000000" w:rsidRPr="00000000" w14:paraId="00000039">
      <w:pPr>
        <w:pStyle w:val="Heading4"/>
        <w:keepNext w:val="0"/>
        <w:keepLines w:val="0"/>
        <w:spacing w:after="40" w:before="240" w:lineRule="auto"/>
        <w:rPr>
          <w:rFonts w:ascii="Cambria" w:cs="Cambria" w:eastAsia="Cambria" w:hAnsi="Cambria"/>
          <w:b w:val="1"/>
          <w:bCs w:val="1"/>
          <w:color w:val="000000"/>
          <w:sz w:val="22"/>
          <w:szCs w:val="22"/>
        </w:rPr>
      </w:pPr>
      <w:bookmarkStart w:colFirst="0" w:colLast="0" w:name="_lx2z234uqkeh" w:id="4"/>
      <w:bookmarkEnd w:id="4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2"/>
          <w:szCs w:val="22"/>
          <w:rtl w:val="0"/>
        </w:rPr>
        <w:t xml:space="preserve">ActivityCode Groups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sector-based grouping shows:</w:t>
      </w:r>
    </w:p>
    <w:tbl>
      <w:tblPr>
        <w:tblStyle w:val="Table2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14.3804392871946"/>
        <w:gridCol w:w="1905.0559469539994"/>
        <w:gridCol w:w="940.1574803149607"/>
        <w:gridCol w:w="1311.2722751761296"/>
        <w:gridCol w:w="1533.9411520928309"/>
        <w:gridCol w:w="2320.7045171985083"/>
        <w:tblGridChange w:id="0">
          <w:tblGrid>
            <w:gridCol w:w="1014.3804392871946"/>
            <w:gridCol w:w="1905.0559469539994"/>
            <w:gridCol w:w="940.1574803149607"/>
            <w:gridCol w:w="1311.2722751761296"/>
            <w:gridCol w:w="1533.9411520928309"/>
            <w:gridCol w:w="2320.704517198508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Duration (years)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Claims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Avg Cost (€)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Yearly Cost (€/year)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Industry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475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0.0063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22,179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140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Other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60,767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413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0.0068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13,695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93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Service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12,266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93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0.0076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14,979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113</w:t>
            </w:r>
          </w:p>
        </w:tc>
      </w:tr>
    </w:tbl>
    <w:p w:rsidR="00000000" w:rsidDel="00000000" w:rsidP="00000000" w:rsidRDefault="00000000" w:rsidRPr="00000000" w14:paraId="00000053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</w:rPr>
        <w:drawing>
          <wp:inline distB="114300" distT="114300" distL="114300" distR="114300">
            <wp:extent cx="5731200" cy="1346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Observations: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Similar Frequencies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All three sectors show frequencies in the narrow range of 0.0063-0.0076, suggesting limited risk differentiation by activity sector alone.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Highly Unbalanced Data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The "Industry" group has only 475 years of exposure and 3 claims, while "Other" has 60,767 years. This imbalance raises concerns about the stability of estimates for the Industry group.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Severity Variation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Despite similar frequencies, average claim costs vary (Industry: €22,179 vs Other: €13,695), indicating that sector affects claim severity more than frequency.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Identified Issues:</w:t>
      </w:r>
    </w:p>
    <w:p w:rsidR="00000000" w:rsidDel="00000000" w:rsidP="00000000" w:rsidRDefault="00000000" w:rsidRPr="00000000" w14:paraId="0000005A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"Industry" group has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very limited data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(only 3 claims total). When combined with NumberOfPersons groups in the aggregated tariff cells, this could result in empty or unstable cells.</w:t>
      </w:r>
    </w:p>
    <w:p w:rsidR="00000000" w:rsidDel="00000000" w:rsidP="00000000" w:rsidRDefault="00000000" w:rsidRPr="00000000" w14:paraId="0000005B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three sectors show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minimal frequency differentiation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questioning whether this variable significantly improves the model.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7aclc64v0c0m" w:id="5"/>
      <w:bookmarkEnd w:id="5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Proposed Modifications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Based on this analysis, we recommend the following modifications: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1. Merge NumberOfPersons Groups 01 and 02</w:t>
      </w:r>
    </w:p>
    <w:p w:rsidR="00000000" w:rsidDel="00000000" w:rsidP="00000000" w:rsidRDefault="00000000" w:rsidRPr="00000000" w14:paraId="0000005F">
      <w:pPr>
        <w:rPr>
          <w:rFonts w:ascii="Cambria" w:cs="Cambria" w:eastAsia="Cambria" w:hAnsi="Cambria"/>
          <w:color w:val="14181f"/>
        </w:rPr>
      </w:pPr>
      <w:r w:rsidDel="00000000" w:rsidR="00000000" w:rsidRPr="00000000">
        <w:rPr>
          <w:rFonts w:ascii="Cambria" w:cs="Cambria" w:eastAsia="Cambria" w:hAnsi="Cambria"/>
          <w:color w:val="14181f"/>
          <w:rtl w:val="0"/>
        </w:rPr>
        <w:t xml:space="preserve">Proposed grouping:</w:t>
      </w:r>
    </w:p>
    <w:p w:rsidR="00000000" w:rsidDel="00000000" w:rsidP="00000000" w:rsidRDefault="00000000" w:rsidRPr="00000000" w14:paraId="00000060">
      <w:pPr>
        <w:rPr>
          <w:rFonts w:ascii="Cambria" w:cs="Cambria" w:eastAsia="Cambria" w:hAnsi="Cambria"/>
          <w:color w:val="14181f"/>
        </w:rPr>
      </w:pPr>
      <w:r w:rsidDel="00000000" w:rsidR="00000000" w:rsidRPr="00000000">
        <w:rPr>
          <w:rFonts w:ascii="Cambria" w:cs="Cambria" w:eastAsia="Cambria" w:hAnsi="Cambria"/>
          <w:color w:val="14181f"/>
          <w:rtl w:val="0"/>
        </w:rPr>
        <w:t xml:space="preserve">- 01. 1-4 persons (merged from 01+02)</w:t>
      </w:r>
    </w:p>
    <w:p w:rsidR="00000000" w:rsidDel="00000000" w:rsidP="00000000" w:rsidRDefault="00000000" w:rsidRPr="00000000" w14:paraId="00000061">
      <w:pPr>
        <w:rPr>
          <w:rFonts w:ascii="Cambria" w:cs="Cambria" w:eastAsia="Cambria" w:hAnsi="Cambria"/>
          <w:color w:val="14181f"/>
        </w:rPr>
      </w:pPr>
      <w:r w:rsidDel="00000000" w:rsidR="00000000" w:rsidRPr="00000000">
        <w:rPr>
          <w:rFonts w:ascii="Cambria" w:cs="Cambria" w:eastAsia="Cambria" w:hAnsi="Cambria"/>
          <w:color w:val="14181f"/>
          <w:rtl w:val="0"/>
        </w:rPr>
        <w:t xml:space="preserve">- 02. 5-14 persons</w:t>
      </w:r>
    </w:p>
    <w:p w:rsidR="00000000" w:rsidDel="00000000" w:rsidP="00000000" w:rsidRDefault="00000000" w:rsidRPr="00000000" w14:paraId="00000062">
      <w:pPr>
        <w:rPr>
          <w:rFonts w:ascii="Cambria" w:cs="Cambria" w:eastAsia="Cambria" w:hAnsi="Cambria"/>
          <w:color w:val="14181f"/>
        </w:rPr>
      </w:pPr>
      <w:r w:rsidDel="00000000" w:rsidR="00000000" w:rsidRPr="00000000">
        <w:rPr>
          <w:rFonts w:ascii="Cambria" w:cs="Cambria" w:eastAsia="Cambria" w:hAnsi="Cambria"/>
          <w:color w:val="14181f"/>
          <w:rtl w:val="0"/>
        </w:rPr>
        <w:t xml:space="preserve">- 03. 15-49 persons</w:t>
      </w:r>
    </w:p>
    <w:p w:rsidR="00000000" w:rsidDel="00000000" w:rsidP="00000000" w:rsidRDefault="00000000" w:rsidRPr="00000000" w14:paraId="00000063">
      <w:pPr>
        <w:rPr>
          <w:rFonts w:ascii="Cambria" w:cs="Cambria" w:eastAsia="Cambria" w:hAnsi="Cambria"/>
          <w:color w:val="14181f"/>
        </w:rPr>
      </w:pPr>
      <w:r w:rsidDel="00000000" w:rsidR="00000000" w:rsidRPr="00000000">
        <w:rPr>
          <w:rFonts w:ascii="Cambria" w:cs="Cambria" w:eastAsia="Cambria" w:hAnsi="Cambria"/>
          <w:color w:val="14181f"/>
          <w:rtl w:val="0"/>
        </w:rPr>
        <w:t xml:space="preserve">- 04. 50-99 persons</w:t>
      </w:r>
    </w:p>
    <w:p w:rsidR="00000000" w:rsidDel="00000000" w:rsidP="00000000" w:rsidRDefault="00000000" w:rsidRPr="00000000" w14:paraId="00000064">
      <w:pPr>
        <w:rPr>
          <w:rFonts w:ascii="Cambria" w:cs="Cambria" w:eastAsia="Cambria" w:hAnsi="Cambria"/>
          <w:color w:val="14181f"/>
        </w:rPr>
      </w:pPr>
      <w:r w:rsidDel="00000000" w:rsidR="00000000" w:rsidRPr="00000000">
        <w:rPr>
          <w:rFonts w:ascii="Cambria" w:cs="Cambria" w:eastAsia="Cambria" w:hAnsi="Cambria"/>
          <w:color w:val="14181f"/>
          <w:rtl w:val="0"/>
        </w:rPr>
        <w:t xml:space="preserve">- 05. &gt;=100 persons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Justification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Identical risk profiles warrant consolidation to improve model parsimony and avoid redundant parameters.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2. Consider Merging or Excluding ActivityGroup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We will test whether ActivityGroup significantly improves model fit using a Likelihood Ratio Test. If the p-value exceeds 0.05, we may: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Option A: Exclude this variable entirely and use a simpler model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Option B: Merge Industry with Other to create a binary classification (Service vs Non-Service)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3. Add Additional Risk Variables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 improve risk differentiation, we should consider incorporating: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FinancialRating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Company credit rating likely affects cancellation risk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TravellingArea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Geographic scope of coverage (Sweden vs World) significantly impacts exposure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These modifications will be validated through model comparison using AIC, BIC, and Likelihood Ratio Tests in the subsequent analysis.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======================================================================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MISSING AND PROBLEMATIC DATA ANALYSIS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======================================================================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1. TECHNICAL MISSING VALUES (NaN):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AvgClaimCost    149142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dtype: int64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2. STRANGE/INCOMPLETE DATA: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ActivityCode: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- 'X' (Missing code): 1581 rows (1.06%)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→ Strategy: Group 'X' with 'Other'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FinancialRating: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- 'IR' (Insufficient Reporting): 2378 rows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- 'AN' (New Company, no history): 10490 rows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- Total incomplete ratings: 12868 (8.61%)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→ Strategy: Create separate 'Missing' group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Extreme/Zero Values: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- Duration = 0: 0 rows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Cambria" w:cs="Cambria" w:eastAsia="Cambria" w:hAnsi="Cambria"/>
          <w:sz w:val="18"/>
          <w:szCs w:val="18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- NumberOfPersons = 0: 0 rows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sz w:val="18"/>
          <w:szCs w:val="18"/>
          <w:rtl w:val="0"/>
        </w:rPr>
        <w:t xml:space="preserve">   - Very short policies (Duration &lt; 0.1): 17077 rows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Analysis after modifications: </w:t>
      </w:r>
    </w:p>
    <w:p w:rsidR="00000000" w:rsidDel="00000000" w:rsidP="00000000" w:rsidRDefault="00000000" w:rsidRPr="00000000" w14:paraId="00000088">
      <w:pPr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Nb Person :</w:t>
      </w:r>
    </w:p>
    <w:p w:rsidR="00000000" w:rsidDel="00000000" w:rsidP="00000000" w:rsidRDefault="00000000" w:rsidRPr="00000000" w14:paraId="0000008A">
      <w:pPr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</w:rPr>
        <w:drawing>
          <wp:inline distB="114300" distT="114300" distL="114300" distR="114300">
            <wp:extent cx="5731200" cy="13462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4"/>
        <w:keepNext w:val="0"/>
        <w:keepLines w:val="0"/>
        <w:spacing w:after="40" w:before="240" w:lineRule="auto"/>
        <w:rPr>
          <w:rFonts w:ascii="Cambria" w:cs="Cambria" w:eastAsia="Cambria" w:hAnsi="Cambria"/>
          <w:b w:val="1"/>
          <w:bCs w:val="1"/>
          <w:sz w:val="24"/>
          <w:szCs w:val="24"/>
        </w:rPr>
      </w:pPr>
      <w:bookmarkStart w:colFirst="0" w:colLast="0" w:name="_2ap7x6rqipir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2"/>
          <w:szCs w:val="22"/>
          <w:rtl w:val="0"/>
        </w:rPr>
        <w:t xml:space="preserve">ActivityCode: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</w:rPr>
        <w:drawing>
          <wp:inline distB="114300" distT="114300" distL="114300" distR="114300">
            <wp:extent cx="5731200" cy="13462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Financial Rating groups:</w:t>
      </w:r>
    </w:p>
    <w:p w:rsidR="00000000" w:rsidDel="00000000" w:rsidP="00000000" w:rsidRDefault="00000000" w:rsidRPr="00000000" w14:paraId="0000008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</w:rPr>
        <w:drawing>
          <wp:inline distB="114300" distT="114300" distL="114300" distR="114300">
            <wp:extent cx="5731200" cy="13462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Traveling Area:</w:t>
      </w:r>
    </w:p>
    <w:p w:rsidR="00000000" w:rsidDel="00000000" w:rsidP="00000000" w:rsidRDefault="00000000" w:rsidRPr="00000000" w14:paraId="00000091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</w:rPr>
        <w:drawing>
          <wp:inline distB="114300" distT="114300" distL="114300" distR="114300">
            <wp:extent cx="5731200" cy="13462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2"/>
          <w:szCs w:val="32"/>
          <w:rtl w:val="0"/>
        </w:rPr>
        <w:t xml:space="preserve">Strategy chosen for grouping: </w:t>
      </w:r>
    </w:p>
    <w:p w:rsidR="00000000" w:rsidDel="00000000" w:rsidP="00000000" w:rsidRDefault="00000000" w:rsidRPr="00000000" w14:paraId="0000009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qgwrwjhyyxxo" w:id="7"/>
      <w:bookmarkEnd w:id="7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1. Definition of Tested Models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Three segmentation strategies were tested for the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NumberOfPersons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variable (number of insured persons per policy):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mdfvhap4siq7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v1_simple (3 groups)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01.&lt;4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Less than 4 persons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02.4-100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Between 4 and 100 persons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03.&gt;100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More than 100 persons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Rationale: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Basic segmentation distinguishing very small companies, SMEs, and large enterprises.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bz79kfa36cl7" w:id="9"/>
      <w:bookmarkEnd w:id="9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v2_medium (6 groups)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01.&lt;2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1 person (micro-enterprises)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02.2-4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2 to 4 persons (very small businesses)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03.5-14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5 to 14 persons (small SMEs)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04.15-49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15 to 49 persons (medium SMEs)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05.50-99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50 to 99 persons (large SMEs)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06.&gt;=100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100+ persons (large enterprises)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Rationale: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Intermediate segmentation following standard company size classification thresholds.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dj778p2hijch" w:id="10"/>
      <w:bookmarkEnd w:id="10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v3_detailed (8 groups)</w:t>
      </w:r>
    </w:p>
    <w:p w:rsidR="00000000" w:rsidDel="00000000" w:rsidP="00000000" w:rsidRDefault="00000000" w:rsidRPr="00000000" w14:paraId="000000A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01.1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Exactly 1 person</w:t>
      </w:r>
    </w:p>
    <w:p w:rsidR="00000000" w:rsidDel="00000000" w:rsidP="00000000" w:rsidRDefault="00000000" w:rsidRPr="00000000" w14:paraId="000000A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02.2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Exactly 2 persons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03.3-4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3 to 4 persons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04.5-10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5 to 10 persons</w:t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05.11-20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11 to 20 persons</w:t>
      </w:r>
    </w:p>
    <w:p w:rsidR="00000000" w:rsidDel="00000000" w:rsidP="00000000" w:rsidRDefault="00000000" w:rsidRPr="00000000" w14:paraId="000000A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06.21-50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21 to 50 persons</w:t>
      </w:r>
    </w:p>
    <w:p w:rsidR="00000000" w:rsidDel="00000000" w:rsidP="00000000" w:rsidRDefault="00000000" w:rsidRPr="00000000" w14:paraId="000000A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07.51-100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51 to 100 persons</w:t>
      </w:r>
    </w:p>
    <w:p w:rsidR="00000000" w:rsidDel="00000000" w:rsidP="00000000" w:rsidRDefault="00000000" w:rsidRPr="00000000" w14:paraId="000000A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08.&gt;100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More than 100 persons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Rationale: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Fine-grained segmentation to capture maximum risk differences between company sizes.</w:t>
      </w:r>
    </w:p>
    <w:p w:rsidR="00000000" w:rsidDel="00000000" w:rsidP="00000000" w:rsidRDefault="00000000" w:rsidRPr="00000000" w14:paraId="000000AF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dyn2snx2rte9" w:id="11"/>
      <w:bookmarkEnd w:id="11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2. Information Criteria Results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4986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huaogxtem98u" w:id="12"/>
      <w:bookmarkEnd w:id="12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2.1 AIC/BIC/Deviance Comparison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three graphs below compare models according to different criteria (lower is better):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AIC (Akaike Information Criterion):</w:t>
      </w:r>
    </w:p>
    <w:p w:rsidR="00000000" w:rsidDel="00000000" w:rsidP="00000000" w:rsidRDefault="00000000" w:rsidRPr="00000000" w14:paraId="000000B5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v1_simple: 332.5</w:t>
      </w:r>
    </w:p>
    <w:p w:rsidR="00000000" w:rsidDel="00000000" w:rsidP="00000000" w:rsidRDefault="00000000" w:rsidRPr="00000000" w14:paraId="000000B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v2_medium: 451.9</w:t>
      </w:r>
    </w:p>
    <w:p w:rsidR="00000000" w:rsidDel="00000000" w:rsidP="00000000" w:rsidRDefault="00000000" w:rsidRPr="00000000" w14:paraId="000000B7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v3_detailed: 527.3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BIC (Bayesian Information Criterion):</w:t>
      </w:r>
    </w:p>
    <w:p w:rsidR="00000000" w:rsidDel="00000000" w:rsidP="00000000" w:rsidRDefault="00000000" w:rsidRPr="00000000" w14:paraId="000000B9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v1_simple: -306</w:t>
      </w:r>
    </w:p>
    <w:p w:rsidR="00000000" w:rsidDel="00000000" w:rsidP="00000000" w:rsidRDefault="00000000" w:rsidRPr="00000000" w14:paraId="000000B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v2_medium: -1087</w:t>
      </w:r>
    </w:p>
    <w:p w:rsidR="00000000" w:rsidDel="00000000" w:rsidP="00000000" w:rsidRDefault="00000000" w:rsidRPr="00000000" w14:paraId="000000BB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v3_detailed: -1587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Deviance:</w:t>
      </w:r>
    </w:p>
    <w:p w:rsidR="00000000" w:rsidDel="00000000" w:rsidP="00000000" w:rsidRDefault="00000000" w:rsidRPr="00000000" w14:paraId="000000BD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v1_simple: 167</w:t>
      </w:r>
    </w:p>
    <w:p w:rsidR="00000000" w:rsidDel="00000000" w:rsidP="00000000" w:rsidRDefault="00000000" w:rsidRPr="00000000" w14:paraId="000000B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v2_medium: 211</w:t>
      </w:r>
    </w:p>
    <w:p w:rsidR="00000000" w:rsidDel="00000000" w:rsidP="00000000" w:rsidRDefault="00000000" w:rsidRPr="00000000" w14:paraId="000000BF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v3_detailed: 251</w:t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z04780wablgx" w:id="13"/>
      <w:bookmarkEnd w:id="13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2.2 Interpretation of Criteria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AIC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Penalizes model complexity less. Increasing AIC from v1 to v3 indicates that adding parameters does not improve likelihood sufficiently to justify the complexity.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BIC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Penalizes complexity more heavily. Increasingly negative values (in absolute terms) show that BIC strongly favors the simple model, as it is more conservative against overfitting.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Deviance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Measures fit to data. The increasing deviance paradoxically suggests that more complex models fit worse, likely due to insufficient data in certain groups.</w:t>
      </w:r>
    </w:p>
    <w:p w:rsidR="00000000" w:rsidDel="00000000" w:rsidP="00000000" w:rsidRDefault="00000000" w:rsidRPr="00000000" w14:paraId="000000C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6iqp75uglys" w:id="14"/>
      <w:bookmarkEnd w:id="14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3. Likelihood Ratio Tests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8796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s5j4qu5ouyal" w:id="15"/>
      <w:bookmarkEnd w:id="15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3.1 Test Results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Test 1: v1_simple vs v2_medium</w:t>
      </w:r>
    </w:p>
    <w:p w:rsidR="00000000" w:rsidDel="00000000" w:rsidP="00000000" w:rsidRDefault="00000000" w:rsidRPr="00000000" w14:paraId="000000C9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LR Statistic: -110 (negative!)</w:t>
      </w:r>
    </w:p>
    <w:p w:rsidR="00000000" w:rsidDel="00000000" w:rsidP="00000000" w:rsidRDefault="00000000" w:rsidRPr="00000000" w14:paraId="000000C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P-value: 1.0 (red = not significant)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Conclusion: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Moving from 3 to 6 groups does NOT significantly improve the model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Test 2: v2_medium vs v3_detailed</w:t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LR Statistic: -70 (negative!)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P-value: ~0.95 (red = not significant)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Conclusion: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Moving from 6 to 8 groups does NOT significantly improve the model</w:t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cxcrq4xe1un1" w:id="16"/>
      <w:bookmarkEnd w:id="16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3.2 Critical Interpretation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Negative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LR statistics are a major red flag. Normally, a more complex model should have at least equal or higher likelihood. Negative values indicate:</w:t>
      </w:r>
    </w:p>
    <w:p w:rsidR="00000000" w:rsidDel="00000000" w:rsidP="00000000" w:rsidRDefault="00000000" w:rsidRPr="00000000" w14:paraId="000000D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Numerical instability: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Finer groups have too little data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Overfitting: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The model fits noise rather than signal</w:t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Perfect separation: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Some groups may have 0 claims, creating estimation problems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High p-values (close to 1.0) confirm there is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no statistical improvement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in making the model more complex.</w:t>
      </w:r>
    </w:p>
    <w:p w:rsidR="00000000" w:rsidDel="00000000" w:rsidP="00000000" w:rsidRDefault="00000000" w:rsidRPr="00000000" w14:paraId="000000D6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gq6gwuqfjxhj" w:id="17"/>
      <w:bookmarkEnd w:id="17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4. Coefficient Analysis</w:t>
      </w:r>
    </w:p>
    <w:p w:rsidR="00000000" w:rsidDel="00000000" w:rsidP="00000000" w:rsidRDefault="00000000" w:rsidRPr="00000000" w14:paraId="000000D8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clwu8t8inuwd" w:id="18"/>
      <w:bookmarkEnd w:id="18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4.1 Risk Profiles by Model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v1_simple (AIC: 332.5)</w:t>
      </w:r>
    </w:p>
    <w:p w:rsidR="00000000" w:rsidDel="00000000" w:rsidP="00000000" w:rsidRDefault="00000000" w:rsidRPr="00000000" w14:paraId="000000DA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01.&lt;4: Relative risk ≈ 1</w:t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02.4-100: Relative risk ≈ 2.5</w:t>
      </w:r>
    </w:p>
    <w:p w:rsidR="00000000" w:rsidDel="00000000" w:rsidP="00000000" w:rsidRDefault="00000000" w:rsidRPr="00000000" w14:paraId="000000D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03.&gt;100: Relative risk ≈ 25</w:t>
      </w:r>
    </w:p>
    <w:p w:rsidR="00000000" w:rsidDel="00000000" w:rsidP="00000000" w:rsidRDefault="00000000" w:rsidRPr="00000000" w14:paraId="000000DD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Observations:</w:t>
      </w:r>
    </w:p>
    <w:p w:rsidR="00000000" w:rsidDel="00000000" w:rsidP="00000000" w:rsidRDefault="00000000" w:rsidRPr="00000000" w14:paraId="000000DE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Smooth and coherent risk progression</w:t>
      </w:r>
    </w:p>
    <w:p w:rsidR="00000000" w:rsidDel="00000000" w:rsidP="00000000" w:rsidRDefault="00000000" w:rsidRPr="00000000" w14:paraId="000000D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Reasonable confidence intervals (blue band)</w:t>
      </w:r>
    </w:p>
    <w:p w:rsidR="00000000" w:rsidDel="00000000" w:rsidP="00000000" w:rsidRDefault="00000000" w:rsidRPr="00000000" w14:paraId="000000E0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&gt;100 shows very high risk with wide but acceptable CI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v2_medium (AIC: 451.9)</w:t>
      </w:r>
    </w:p>
    <w:p w:rsidR="00000000" w:rsidDel="00000000" w:rsidP="00000000" w:rsidRDefault="00000000" w:rsidRPr="00000000" w14:paraId="000000E2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Groups 01-03 (1 to 14 persons): Risk ≈ 1-2</w:t>
      </w:r>
    </w:p>
    <w:p w:rsidR="00000000" w:rsidDel="00000000" w:rsidP="00000000" w:rsidRDefault="00000000" w:rsidRPr="00000000" w14:paraId="000000E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04 (15-49): Risk ≈ 3</w:t>
      </w:r>
    </w:p>
    <w:p w:rsidR="00000000" w:rsidDel="00000000" w:rsidP="00000000" w:rsidRDefault="00000000" w:rsidRPr="00000000" w14:paraId="000000E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05 (50-99): Risk ≈ 5</w:t>
      </w:r>
    </w:p>
    <w:p w:rsidR="00000000" w:rsidDel="00000000" w:rsidP="00000000" w:rsidRDefault="00000000" w:rsidRPr="00000000" w14:paraId="000000E5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06 (&gt;=100): Risk ≈ 24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Observations: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Similar progression but with more detail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CIs starting to widen for 50-99 group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Last group remains very high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v3_detailed (AIC: 527.3)</w:t>
      </w:r>
    </w:p>
    <w:p w:rsidR="00000000" w:rsidDel="00000000" w:rsidP="00000000" w:rsidRDefault="00000000" w:rsidRPr="00000000" w14:paraId="000000EB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Groups 01-06 (1 to 50 persons): Risk ≈ 0.5-3</w:t>
      </w:r>
    </w:p>
    <w:p w:rsidR="00000000" w:rsidDel="00000000" w:rsidP="00000000" w:rsidRDefault="00000000" w:rsidRPr="00000000" w14:paraId="000000E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07 (51-100): Risk ≈ 5</w:t>
      </w:r>
    </w:p>
    <w:p w:rsidR="00000000" w:rsidDel="00000000" w:rsidP="00000000" w:rsidRDefault="00000000" w:rsidRPr="00000000" w14:paraId="000000ED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Group 08 (&gt;100): Risk ≈ 20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Observations:</w:t>
      </w:r>
    </w:p>
    <w:p w:rsidR="00000000" w:rsidDel="00000000" w:rsidP="00000000" w:rsidRDefault="00000000" w:rsidRPr="00000000" w14:paraId="000000E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VERY wide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CIs for almost all groups</w:t>
      </w:r>
    </w:p>
    <w:p w:rsidR="00000000" w:rsidDel="00000000" w:rsidP="00000000" w:rsidRDefault="00000000" w:rsidRPr="00000000" w14:paraId="000000F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High uncertainty in estimates</w:t>
      </w:r>
    </w:p>
    <w:p w:rsidR="00000000" w:rsidDel="00000000" w:rsidP="00000000" w:rsidRDefault="00000000" w:rsidRPr="00000000" w14:paraId="000000F1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Clear sign of data scarcity per segment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63vpf68kc1pt" w:id="19"/>
      <w:bookmarkEnd w:id="19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4.2 Uncertainty Problem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The progressive widening of confidence intervals (blue zones) from v1 to v3 is critical:</w:t>
      </w:r>
    </w:p>
    <w:p w:rsidR="00000000" w:rsidDel="00000000" w:rsidP="00000000" w:rsidRDefault="00000000" w:rsidRPr="00000000" w14:paraId="000000F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v1_simple: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Reasonable CIs, reliable estimates</w:t>
      </w:r>
    </w:p>
    <w:p w:rsidR="00000000" w:rsidDel="00000000" w:rsidP="00000000" w:rsidRDefault="00000000" w:rsidRPr="00000000" w14:paraId="000000F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v2_medium: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CIs beginning to widen, some groups not credible</w:t>
      </w:r>
    </w:p>
    <w:p w:rsidR="00000000" w:rsidDel="00000000" w:rsidP="00000000" w:rsidRDefault="00000000" w:rsidRPr="00000000" w14:paraId="000000F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v3_detailed: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Extremely wide CIs, very uncertain estimates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This indicates a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lack of statistical credibility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for complex models.</w:t>
      </w:r>
    </w:p>
    <w:p w:rsidR="00000000" w:rsidDel="00000000" w:rsidP="00000000" w:rsidRDefault="00000000" w:rsidRPr="00000000" w14:paraId="000000F8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ef6qm7elhhyj" w:id="20"/>
      <w:bookmarkEnd w:id="20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5. Recommendation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i8knkt9axdik" w:id="21"/>
      <w:bookmarkEnd w:id="21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Selected Model: v1_simple (3 groups)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Justifications:</w:t>
      </w:r>
    </w:p>
    <w:p w:rsidR="00000000" w:rsidDel="00000000" w:rsidP="00000000" w:rsidRDefault="00000000" w:rsidRPr="00000000" w14:paraId="000000FC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Optimal information criteria</w:t>
      </w:r>
    </w:p>
    <w:p w:rsidR="00000000" w:rsidDel="00000000" w:rsidP="00000000" w:rsidRDefault="00000000" w:rsidRPr="00000000" w14:paraId="000000FD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Lowest AIC (332.5)</w:t>
      </w:r>
    </w:p>
    <w:p w:rsidR="00000000" w:rsidDel="00000000" w:rsidP="00000000" w:rsidRDefault="00000000" w:rsidRPr="00000000" w14:paraId="000000FE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Most favorable BIC (-306)</w:t>
      </w:r>
    </w:p>
    <w:p w:rsidR="00000000" w:rsidDel="00000000" w:rsidP="00000000" w:rsidRDefault="00000000" w:rsidRPr="00000000" w14:paraId="000000FF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Lowest deviance (167)</w:t>
      </w:r>
    </w:p>
    <w:p w:rsidR="00000000" w:rsidDel="00000000" w:rsidP="00000000" w:rsidRDefault="00000000" w:rsidRPr="00000000" w14:paraId="0000010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Statistical tests</w:t>
      </w:r>
    </w:p>
    <w:p w:rsidR="00000000" w:rsidDel="00000000" w:rsidP="00000000" w:rsidRDefault="00000000" w:rsidRPr="00000000" w14:paraId="00000101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More complex models provide no significant improvement (p &gt; 0.95)</w:t>
      </w:r>
    </w:p>
    <w:p w:rsidR="00000000" w:rsidDel="00000000" w:rsidP="00000000" w:rsidRDefault="00000000" w:rsidRPr="00000000" w14:paraId="00000102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Negative LR statistics even indicate degradation</w:t>
      </w:r>
    </w:p>
    <w:p w:rsidR="00000000" w:rsidDel="00000000" w:rsidP="00000000" w:rsidRDefault="00000000" w:rsidRPr="00000000" w14:paraId="0000010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Estimation stability</w:t>
      </w:r>
    </w:p>
    <w:p w:rsidR="00000000" w:rsidDel="00000000" w:rsidP="00000000" w:rsidRDefault="00000000" w:rsidRPr="00000000" w14:paraId="00000104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Reasonable confidence intervals</w:t>
      </w:r>
    </w:p>
    <w:p w:rsidR="00000000" w:rsidDel="00000000" w:rsidP="00000000" w:rsidRDefault="00000000" w:rsidRPr="00000000" w14:paraId="00000105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Coherent and interpretable coefficients</w:t>
      </w:r>
    </w:p>
    <w:p w:rsidR="00000000" w:rsidDel="00000000" w:rsidP="00000000" w:rsidRDefault="00000000" w:rsidRPr="00000000" w14:paraId="00000106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No perfect separation issues</w:t>
      </w:r>
    </w:p>
    <w:p w:rsidR="00000000" w:rsidDel="00000000" w:rsidP="00000000" w:rsidRDefault="00000000" w:rsidRPr="00000000" w14:paraId="0000010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Parsimony principle</w:t>
      </w:r>
    </w:p>
    <w:p w:rsidR="00000000" w:rsidDel="00000000" w:rsidP="00000000" w:rsidRDefault="00000000" w:rsidRPr="00000000" w14:paraId="00000108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Simplest model adequately explaining the data</w:t>
      </w:r>
    </w:p>
    <w:p w:rsidR="00000000" w:rsidDel="00000000" w:rsidP="00000000" w:rsidRDefault="00000000" w:rsidRPr="00000000" w14:paraId="00000109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Avoids overfitting</w:t>
      </w:r>
    </w:p>
    <w:p w:rsidR="00000000" w:rsidDel="00000000" w:rsidP="00000000" w:rsidRDefault="00000000" w:rsidRPr="00000000" w14:paraId="0000010A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Better generalization on future data</w:t>
      </w:r>
    </w:p>
    <w:p w:rsidR="00000000" w:rsidDel="00000000" w:rsidP="00000000" w:rsidRDefault="00000000" w:rsidRPr="00000000" w14:paraId="0000010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Business interpretability</w:t>
      </w:r>
    </w:p>
    <w:p w:rsidR="00000000" w:rsidDel="00000000" w:rsidP="00000000" w:rsidRDefault="00000000" w:rsidRPr="00000000" w14:paraId="0000010C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Clear segmentation: small / medium / large enterprises</w:t>
      </w:r>
    </w:p>
    <w:p w:rsidR="00000000" w:rsidDel="00000000" w:rsidP="00000000" w:rsidRDefault="00000000" w:rsidRPr="00000000" w14:paraId="0000010D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Easy-to-communicate risk factors</w:t>
      </w:r>
    </w:p>
    <w:p w:rsidR="00000000" w:rsidDel="00000000" w:rsidP="00000000" w:rsidRDefault="00000000" w:rsidRPr="00000000" w14:paraId="0000010E">
      <w:pPr>
        <w:numPr>
          <w:ilvl w:val="1"/>
          <w:numId w:val="17"/>
        </w:numPr>
        <w:spacing w:after="240" w:before="0" w:beforeAutospacing="0" w:lineRule="auto"/>
        <w:ind w:left="144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Consistent with market practice</w:t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spacing w:before="280" w:lineRule="auto"/>
        <w:rPr>
          <w:rFonts w:ascii="Cambria" w:cs="Cambria" w:eastAsia="Cambria" w:hAnsi="Cambria"/>
          <w:b w:val="1"/>
          <w:bCs w:val="1"/>
          <w:color w:val="000000"/>
          <w:sz w:val="26"/>
          <w:szCs w:val="26"/>
        </w:rPr>
      </w:pPr>
      <w:bookmarkStart w:colFirst="0" w:colLast="0" w:name="_7qcv7fhd6sdh" w:id="22"/>
      <w:bookmarkEnd w:id="22"/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6"/>
          <w:szCs w:val="26"/>
          <w:rtl w:val="0"/>
        </w:rPr>
        <w:t xml:space="preserve">Risks of More Complex Models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v2_medium and v3_detailed:</w:t>
      </w:r>
    </w:p>
    <w:p w:rsidR="00000000" w:rsidDel="00000000" w:rsidP="00000000" w:rsidRDefault="00000000" w:rsidRPr="00000000" w14:paraId="00000111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Insufficient data in certain segments</w:t>
      </w:r>
    </w:p>
    <w:p w:rsidR="00000000" w:rsidDel="00000000" w:rsidP="00000000" w:rsidRDefault="00000000" w:rsidRPr="00000000" w14:paraId="0000011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Unstable estimates (wide CIs)</w:t>
      </w:r>
    </w:p>
    <w:p w:rsidR="00000000" w:rsidDel="00000000" w:rsidP="00000000" w:rsidRDefault="00000000" w:rsidRPr="00000000" w14:paraId="0000011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High overfitting risk</w:t>
      </w:r>
    </w:p>
    <w:p w:rsidR="00000000" w:rsidDel="00000000" w:rsidP="00000000" w:rsidRDefault="00000000" w:rsidRPr="00000000" w14:paraId="0000011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No demonstrated statistical gain</w:t>
      </w:r>
    </w:p>
    <w:p w:rsidR="00000000" w:rsidDel="00000000" w:rsidP="00000000" w:rsidRDefault="00000000" w:rsidRPr="00000000" w14:paraId="00000115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Increased operational complexity with no benefit</w:t>
      </w:r>
    </w:p>
    <w:p w:rsidR="00000000" w:rsidDel="00000000" w:rsidP="00000000" w:rsidRDefault="00000000" w:rsidRPr="00000000" w14:paraId="00000116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sz w:val="34"/>
          <w:szCs w:val="34"/>
        </w:rPr>
      </w:pPr>
      <w:bookmarkStart w:colFirst="0" w:colLast="0" w:name="_jsu3xtx6ddm4" w:id="23"/>
      <w:bookmarkEnd w:id="23"/>
      <w:r w:rsidDel="00000000" w:rsidR="00000000" w:rsidRPr="00000000">
        <w:rPr>
          <w:rFonts w:ascii="Cambria" w:cs="Cambria" w:eastAsia="Cambria" w:hAnsi="Cambria"/>
          <w:b w:val="1"/>
          <w:bCs w:val="1"/>
          <w:sz w:val="34"/>
          <w:szCs w:val="34"/>
          <w:rtl w:val="0"/>
        </w:rPr>
        <w:t xml:space="preserve">6. Recommended Frequency Factors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With the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v1_simple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model, the multiplicative frequency factors are:</w:t>
      </w:r>
    </w:p>
    <w:tbl>
      <w:tblPr>
        <w:tblStyle w:val="Table3"/>
        <w:tblW w:w="5340.0" w:type="dxa"/>
        <w:jc w:val="left"/>
        <w:tblLayout w:type="fixed"/>
        <w:tblLook w:val="0600"/>
      </w:tblPr>
      <w:tblGrid>
        <w:gridCol w:w="1085"/>
        <w:gridCol w:w="2195"/>
        <w:gridCol w:w="2060"/>
        <w:tblGridChange w:id="0">
          <w:tblGrid>
            <w:gridCol w:w="1085"/>
            <w:gridCol w:w="2195"/>
            <w:gridCol w:w="20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Number of Persons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rtl w:val="0"/>
              </w:rPr>
              <w:t xml:space="preserve">Frequency Factor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01.&lt;4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1-3 persons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1.0 (reference)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02.4-100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4-100 persons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03.&gt;100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&gt;100 persons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rtl w:val="0"/>
              </w:rPr>
              <w:t xml:space="preserve">25.0</w:t>
            </w:r>
          </w:p>
        </w:tc>
      </w:tr>
    </w:tbl>
    <w:p w:rsidR="00000000" w:rsidDel="00000000" w:rsidP="00000000" w:rsidRDefault="00000000" w:rsidRPr="00000000" w14:paraId="00000125">
      <w:pPr>
        <w:spacing w:after="240" w:before="240" w:lineRule="auto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Interpretation:</w:t>
      </w:r>
    </w:p>
    <w:p w:rsidR="00000000" w:rsidDel="00000000" w:rsidP="00000000" w:rsidRDefault="00000000" w:rsidRPr="00000000" w14:paraId="00000126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Companies with 4-100 persons have a frequency risk 2.5× higher than micro-enterprises</w:t>
      </w:r>
    </w:p>
    <w:p w:rsidR="00000000" w:rsidDel="00000000" w:rsidP="00000000" w:rsidRDefault="00000000" w:rsidRPr="00000000" w14:paraId="0000012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Large companies (&gt;100) have a 25× higher risk</w:t>
      </w:r>
    </w:p>
    <w:p w:rsidR="00000000" w:rsidDel="00000000" w:rsidP="00000000" w:rsidRDefault="00000000" w:rsidRPr="00000000" w14:paraId="00000128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This progression reflects increasing risk exposure with size</w:t>
      </w:r>
    </w:p>
    <w:p w:rsidR="00000000" w:rsidDel="00000000" w:rsidP="00000000" w:rsidRDefault="00000000" w:rsidRPr="00000000" w14:paraId="00000129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80" w:lineRule="auto"/>
        <w:rPr>
          <w:rFonts w:ascii="Cambria" w:cs="Cambria" w:eastAsia="Cambria" w:hAnsi="Cambria"/>
          <w:b w:val="1"/>
          <w:bCs w:val="1"/>
          <w:color w:val="ff0000"/>
          <w:sz w:val="34"/>
          <w:szCs w:val="34"/>
        </w:rPr>
      </w:pPr>
      <w:bookmarkStart w:colFirst="0" w:colLast="0" w:name="_z0arbyzduzqf" w:id="24"/>
      <w:bookmarkEnd w:id="24"/>
      <w:r w:rsidDel="00000000" w:rsidR="00000000" w:rsidRPr="00000000">
        <w:rPr>
          <w:rFonts w:ascii="Cambria" w:cs="Cambria" w:eastAsia="Cambria" w:hAnsi="Cambria"/>
          <w:b w:val="1"/>
          <w:bCs w:val="1"/>
          <w:color w:val="ff0000"/>
          <w:sz w:val="34"/>
          <w:szCs w:val="34"/>
          <w:rtl w:val="0"/>
        </w:rPr>
        <w:t xml:space="preserve">7. Next Steps</w:t>
      </w:r>
    </w:p>
    <w:p w:rsidR="00000000" w:rsidDel="00000000" w:rsidP="00000000" w:rsidRDefault="00000000" w:rsidRPr="00000000" w14:paraId="0000012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color w:val="ff000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ff0000"/>
          <w:rtl w:val="0"/>
        </w:rPr>
        <w:t xml:space="preserve">Apply the same methodology</w:t>
      </w: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 to other variables:</w:t>
      </w:r>
    </w:p>
    <w:p w:rsidR="00000000" w:rsidDel="00000000" w:rsidP="00000000" w:rsidRDefault="00000000" w:rsidRPr="00000000" w14:paraId="0000012C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ActivityGroup</w:t>
      </w:r>
    </w:p>
    <w:p w:rsidR="00000000" w:rsidDel="00000000" w:rsidP="00000000" w:rsidRDefault="00000000" w:rsidRPr="00000000" w14:paraId="0000012D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FinancialRatingGroup</w:t>
      </w:r>
    </w:p>
    <w:p w:rsidR="00000000" w:rsidDel="00000000" w:rsidP="00000000" w:rsidRDefault="00000000" w:rsidRPr="00000000" w14:paraId="0000012E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TravellingAreaGroup</w:t>
      </w:r>
    </w:p>
    <w:p w:rsidR="00000000" w:rsidDel="00000000" w:rsidP="00000000" w:rsidRDefault="00000000" w:rsidRPr="00000000" w14:paraId="000001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ff0000"/>
          <w:rtl w:val="0"/>
        </w:rPr>
        <w:t xml:space="preserve">Severity model:</w:t>
      </w:r>
    </w:p>
    <w:p w:rsidR="00000000" w:rsidDel="00000000" w:rsidP="00000000" w:rsidRDefault="00000000" w:rsidRPr="00000000" w14:paraId="0000013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Test if the same groups are relevant for average cost</w:t>
      </w:r>
    </w:p>
    <w:p w:rsidR="00000000" w:rsidDel="00000000" w:rsidP="00000000" w:rsidRDefault="00000000" w:rsidRPr="00000000" w14:paraId="0000013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Verify data availability (minimum 20-30 claims per group)</w:t>
      </w:r>
    </w:p>
    <w:p w:rsidR="00000000" w:rsidDel="00000000" w:rsidP="00000000" w:rsidRDefault="00000000" w:rsidRPr="00000000" w14:paraId="000001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ff0000"/>
          <w:rtl w:val="0"/>
        </w:rPr>
        <w:t xml:space="preserve">Validation:</w:t>
      </w:r>
    </w:p>
    <w:p w:rsidR="00000000" w:rsidDel="00000000" w:rsidP="00000000" w:rsidRDefault="00000000" w:rsidRPr="00000000" w14:paraId="00000133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Test final model on validation sample</w:t>
      </w:r>
    </w:p>
    <w:p w:rsidR="00000000" w:rsidDel="00000000" w:rsidP="00000000" w:rsidRDefault="00000000" w:rsidRPr="00000000" w14:paraId="00000134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Verify prediction stability</w:t>
      </w:r>
    </w:p>
    <w:p w:rsidR="00000000" w:rsidDel="00000000" w:rsidP="00000000" w:rsidRDefault="00000000" w:rsidRPr="00000000" w14:paraId="00000135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Analyze residuals</w:t>
      </w:r>
    </w:p>
    <w:p w:rsidR="00000000" w:rsidDel="00000000" w:rsidP="00000000" w:rsidRDefault="00000000" w:rsidRPr="00000000" w14:paraId="0000013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ff0000"/>
          <w:rtl w:val="0"/>
        </w:rPr>
        <w:t xml:space="preserve">Final calibration:</w:t>
      </w:r>
    </w:p>
    <w:p w:rsidR="00000000" w:rsidDel="00000000" w:rsidP="00000000" w:rsidRDefault="00000000" w:rsidRPr="00000000" w14:paraId="0000013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Combine frequency and severity</w:t>
      </w:r>
    </w:p>
    <w:p w:rsidR="00000000" w:rsidDel="00000000" w:rsidP="00000000" w:rsidRDefault="00000000" w:rsidRPr="00000000" w14:paraId="0000013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Adjust overall premium level if necessary</w:t>
      </w:r>
    </w:p>
    <w:p w:rsidR="00000000" w:rsidDel="00000000" w:rsidP="00000000" w:rsidRDefault="00000000" w:rsidRPr="00000000" w14:paraId="0000013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ambria" w:cs="Cambria" w:eastAsia="Cambria" w:hAnsi="Cambria"/>
          <w:color w:val="ff0000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Document choices for actuarial audit</w:t>
      </w:r>
    </w:p>
    <w:p w:rsidR="00000000" w:rsidDel="00000000" w:rsidP="00000000" w:rsidRDefault="00000000" w:rsidRPr="00000000" w14:paraId="0000013A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Cambria" w:cs="Cambria" w:eastAsia="Cambria" w:hAnsi="Cambria"/>
          <w:b w:val="1"/>
          <w:bCs w:val="1"/>
          <w:color w:val="ff000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ff0000"/>
          <w:rtl w:val="0"/>
        </w:rPr>
        <w:t xml:space="preserve">Do leveraging part</w:t>
      </w:r>
    </w:p>
    <w:p w:rsidR="00000000" w:rsidDel="00000000" w:rsidP="00000000" w:rsidRDefault="00000000" w:rsidRPr="00000000" w14:paraId="0000013B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