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Ecommerce Sales Business Analysis</w:t>
      </w:r>
    </w:p>
    <w:p>
      <w:pPr>
        <w:pStyle w:val="Subtitle"/>
      </w:pPr>
      <w:r>
        <w:t xml:space="preserve">Business questions KPIs and findings</w:t>
      </w:r>
    </w:p>
    <w:p>
      <w:pPr>
        <w:pStyle w:val="Heading1"/>
      </w:pPr>
      <w:r>
        <w:t xml:space="preserve">Report overview</w:t>
      </w:r>
    </w:p>
    <w:p>
      <w:r>
        <w:t xml:space="preserve">This report analyzes the 34,500 ecommerce orders in the supplied dataset. It answers the business questions, presents the results, and explains the business value of each finding. Dashboard measures and chart selection are excluded, as requested.</w:t>
      </w:r>
    </w:p>
    <w:p>
      <w:pPr>
        <w:pStyle w:val="Heading1"/>
      </w:pPr>
      <w:r>
        <w:t xml:space="preserve">Executive conclusion</w:t>
      </w:r>
    </w:p>
    <w:p>
      <w:r>
        <w:t xml:space="preserve">The business generated 5.87 million in sales and 970.02 thousand in profit at a 16.54% profit rate. Electronics drives most revenue but has a low margin, Grocery is loss-making, and Fashion has the highest return rate. East needs operational attention because it has both the slowest delivery time and the highest regional return rate.</w:t>
      </w:r>
    </w:p>
    <w:p>
      <w:pPr>
        <w:pStyle w:val="Heading1"/>
      </w:pPr>
      <w:r>
        <w:t xml:space="preserve">Data scope and quality</w:t>
      </w:r>
    </w:p>
    <w:p>
      <w:r>
        <w:t xml:space="preserve">Records: 34,500 orders. Date range: 12 September 2023 to 11 September 2025. Customers: 7,903. Products: 24,912. The main fields were checked and no missing values were found.</w:t>
      </w:r>
    </w:p>
    <w:p>
      <w:r>
        <w:t xml:space="preserve">Method note: total_amount is treated as sales and profit_margin is treated as the monetary profit value stored in the source. Profit rate is calculated as profit divided by sales. The dataset does not specify a currency, so financial values remain in the source currency unit.</w:t>
      </w:r>
    </w:p>
    <w:p>
      <w:pPr>
        <w:pStyle w:val="Heading1"/>
      </w:pPr>
      <w:r>
        <w:t xml:space="preserve">Key performance indicators</w:t>
      </w:r>
    </w:p>
    <w:tbl>
      <w:tblPr>
        <w:tblBorders>
          <w:top w:val="single" w:sz="4" w:color="D9D9D9"/>
          <w:left w:val="single" w:sz="4" w:color="D9D9D9"/>
          <w:bottom w:val="single" w:sz="4" w:color="D9D9D9"/>
          <w:right w:val="single" w:sz="4" w:color="D9D9D9"/>
          <w:insideH w:val="single" w:sz="3" w:color="D9D9D9"/>
          <w:insideV w:val="single" w:sz="3" w:color="D9D9D9"/>
        </w:tblBorders>
      </w:tblPr>
      <w:tblGrid>
        <w:gridCol w:w="4500"/>
        <w:gridCol w:w="4500"/>
      </w:tblGrid>
      <w:tr>
        <w:tc>
          <w:tcPr>
            <w:shd w:fill="1F4E78"/>
            <w:tcMar>
              <w:top w:w="90" w:type="dxa"/>
              <w:left w:w="100" w:type="dxa"/>
              <w:bottom w:w="90" w:type="dxa"/>
              <w:right w:w="100" w:type="dxa"/>
            </w:tcMar>
            <w:vAlign w:val="center"/>
          </w:tcPr>
          <w:p>
            <w:r>
              <w:rPr>
                <w:b/>
                <w:color w:val="FFFFFF"/>
              </w:rPr>
              <w:t xml:space="preserve">KPI</w:t>
            </w:r>
          </w:p>
        </w:tc>
        <w:tc>
          <w:tcPr>
            <w:shd w:fill="1F4E78"/>
            <w:tcMar>
              <w:top w:w="90" w:type="dxa"/>
              <w:left w:w="100" w:type="dxa"/>
              <w:bottom w:w="90" w:type="dxa"/>
              <w:right w:w="100" w:type="dxa"/>
            </w:tcMar>
            <w:vAlign w:val="center"/>
          </w:tcPr>
          <w:p>
            <w:r>
              <w:rPr>
                <w:b/>
                <w:color w:val="FFFFFF"/>
              </w:rPr>
              <w:t xml:space="preserve">Result</w:t>
            </w:r>
          </w:p>
        </w:tc>
      </w:tr>
      <w:tr>
        <w:tc>
          <w:tcPr>
            <w:shd w:fill="FFFFFF"/>
            <w:tcMar>
              <w:top w:w="90" w:type="dxa"/>
              <w:left w:w="100" w:type="dxa"/>
              <w:bottom w:w="90" w:type="dxa"/>
              <w:right w:w="100" w:type="dxa"/>
            </w:tcMar>
            <w:vAlign w:val="center"/>
          </w:tcPr>
          <w:p>
            <w:r>
              <w:rPr/>
              <w:t xml:space="preserve">Total sales</w:t>
            </w:r>
          </w:p>
        </w:tc>
        <w:tc>
          <w:tcPr>
            <w:shd w:fill="FFFFFF"/>
            <w:tcMar>
              <w:top w:w="90" w:type="dxa"/>
              <w:left w:w="100" w:type="dxa"/>
              <w:bottom w:w="90" w:type="dxa"/>
              <w:right w:w="100" w:type="dxa"/>
            </w:tcMar>
            <w:vAlign w:val="center"/>
          </w:tcPr>
          <w:p>
            <w:r>
              <w:rPr/>
              <w:t xml:space="preserve">5,865,293.05</w:t>
            </w:r>
          </w:p>
        </w:tc>
      </w:tr>
      <w:tr>
        <w:tc>
          <w:tcPr>
            <w:shd w:fill="F3F6F8"/>
            <w:tcMar>
              <w:top w:w="90" w:type="dxa"/>
              <w:left w:w="100" w:type="dxa"/>
              <w:bottom w:w="90" w:type="dxa"/>
              <w:right w:w="100" w:type="dxa"/>
            </w:tcMar>
            <w:vAlign w:val="center"/>
          </w:tcPr>
          <w:p>
            <w:r>
              <w:rPr/>
              <w:t xml:space="preserve">Total profit</w:t>
            </w:r>
          </w:p>
        </w:tc>
        <w:tc>
          <w:tcPr>
            <w:shd w:fill="F3F6F8"/>
            <w:tcMar>
              <w:top w:w="90" w:type="dxa"/>
              <w:left w:w="100" w:type="dxa"/>
              <w:bottom w:w="90" w:type="dxa"/>
              <w:right w:w="100" w:type="dxa"/>
            </w:tcMar>
            <w:vAlign w:val="center"/>
          </w:tcPr>
          <w:p>
            <w:r>
              <w:rPr/>
              <w:t xml:space="preserve">970,019.41</w:t>
            </w:r>
          </w:p>
        </w:tc>
      </w:tr>
      <w:tr>
        <w:tc>
          <w:tcPr>
            <w:shd w:fill="FFFFFF"/>
            <w:tcMar>
              <w:top w:w="90" w:type="dxa"/>
              <w:left w:w="100" w:type="dxa"/>
              <w:bottom w:w="90" w:type="dxa"/>
              <w:right w:w="100" w:type="dxa"/>
            </w:tcMar>
            <w:vAlign w:val="center"/>
          </w:tcPr>
          <w:p>
            <w:r>
              <w:rPr/>
              <w:t xml:space="preserve">Profit rate</w:t>
            </w:r>
          </w:p>
        </w:tc>
        <w:tc>
          <w:tcPr>
            <w:shd w:fill="FFFFFF"/>
            <w:tcMar>
              <w:top w:w="90" w:type="dxa"/>
              <w:left w:w="100" w:type="dxa"/>
              <w:bottom w:w="90" w:type="dxa"/>
              <w:right w:w="100" w:type="dxa"/>
            </w:tcMar>
            <w:vAlign w:val="center"/>
          </w:tcPr>
          <w:p>
            <w:r>
              <w:rPr/>
              <w:t xml:space="preserve">16.54%</w:t>
            </w:r>
          </w:p>
        </w:tc>
      </w:tr>
      <w:tr>
        <w:tc>
          <w:tcPr>
            <w:shd w:fill="F3F6F8"/>
            <w:tcMar>
              <w:top w:w="90" w:type="dxa"/>
              <w:left w:w="100" w:type="dxa"/>
              <w:bottom w:w="90" w:type="dxa"/>
              <w:right w:w="100" w:type="dxa"/>
            </w:tcMar>
            <w:vAlign w:val="center"/>
          </w:tcPr>
          <w:p>
            <w:r>
              <w:rPr/>
              <w:t xml:space="preserve">Orders</w:t>
            </w:r>
          </w:p>
        </w:tc>
        <w:tc>
          <w:tcPr>
            <w:shd w:fill="F3F6F8"/>
            <w:tcMar>
              <w:top w:w="90" w:type="dxa"/>
              <w:left w:w="100" w:type="dxa"/>
              <w:bottom w:w="90" w:type="dxa"/>
              <w:right w:w="100" w:type="dxa"/>
            </w:tcMar>
            <w:vAlign w:val="center"/>
          </w:tcPr>
          <w:p>
            <w:r>
              <w:rPr/>
              <w:t xml:space="preserve">34,500</w:t>
            </w:r>
          </w:p>
        </w:tc>
      </w:tr>
      <w:tr>
        <w:tc>
          <w:tcPr>
            <w:shd w:fill="FFFFFF"/>
            <w:tcMar>
              <w:top w:w="90" w:type="dxa"/>
              <w:left w:w="100" w:type="dxa"/>
              <w:bottom w:w="90" w:type="dxa"/>
              <w:right w:w="100" w:type="dxa"/>
            </w:tcMar>
            <w:vAlign w:val="center"/>
          </w:tcPr>
          <w:p>
            <w:r>
              <w:rPr/>
              <w:t xml:space="preserve">Average order value</w:t>
            </w:r>
          </w:p>
        </w:tc>
        <w:tc>
          <w:tcPr>
            <w:shd w:fill="FFFFFF"/>
            <w:tcMar>
              <w:top w:w="90" w:type="dxa"/>
              <w:left w:w="100" w:type="dxa"/>
              <w:bottom w:w="90" w:type="dxa"/>
              <w:right w:w="100" w:type="dxa"/>
            </w:tcMar>
            <w:vAlign w:val="center"/>
          </w:tcPr>
          <w:p>
            <w:r>
              <w:rPr/>
              <w:t xml:space="preserve">170.01</w:t>
            </w:r>
          </w:p>
        </w:tc>
      </w:tr>
      <w:tr>
        <w:tc>
          <w:tcPr>
            <w:shd w:fill="F3F6F8"/>
            <w:tcMar>
              <w:top w:w="90" w:type="dxa"/>
              <w:left w:w="100" w:type="dxa"/>
              <w:bottom w:w="90" w:type="dxa"/>
              <w:right w:w="100" w:type="dxa"/>
            </w:tcMar>
            <w:vAlign w:val="center"/>
          </w:tcPr>
          <w:p>
            <w:r>
              <w:rPr/>
              <w:t xml:space="preserve">Units sold</w:t>
            </w:r>
          </w:p>
        </w:tc>
        <w:tc>
          <w:tcPr>
            <w:shd w:fill="F3F6F8"/>
            <w:tcMar>
              <w:top w:w="90" w:type="dxa"/>
              <w:left w:w="100" w:type="dxa"/>
              <w:bottom w:w="90" w:type="dxa"/>
              <w:right w:w="100" w:type="dxa"/>
            </w:tcMar>
            <w:vAlign w:val="center"/>
          </w:tcPr>
          <w:p>
            <w:r>
              <w:rPr/>
              <w:t xml:space="preserve">51,430</w:t>
            </w:r>
          </w:p>
        </w:tc>
      </w:tr>
      <w:tr>
        <w:tc>
          <w:tcPr>
            <w:shd w:fill="FFFFFF"/>
            <w:tcMar>
              <w:top w:w="90" w:type="dxa"/>
              <w:left w:w="100" w:type="dxa"/>
              <w:bottom w:w="90" w:type="dxa"/>
              <w:right w:w="100" w:type="dxa"/>
            </w:tcMar>
            <w:vAlign w:val="center"/>
          </w:tcPr>
          <w:p>
            <w:r>
              <w:rPr/>
              <w:t xml:space="preserve">Returned orders</w:t>
            </w:r>
          </w:p>
        </w:tc>
        <w:tc>
          <w:tcPr>
            <w:shd w:fill="FFFFFF"/>
            <w:tcMar>
              <w:top w:w="90" w:type="dxa"/>
              <w:left w:w="100" w:type="dxa"/>
              <w:bottom w:w="90" w:type="dxa"/>
              <w:right w:w="100" w:type="dxa"/>
            </w:tcMar>
            <w:vAlign w:val="center"/>
          </w:tcPr>
          <w:p>
            <w:r>
              <w:rPr/>
              <w:t xml:space="preserve">1,903</w:t>
            </w:r>
          </w:p>
        </w:tc>
      </w:tr>
      <w:tr>
        <w:tc>
          <w:tcPr>
            <w:shd w:fill="F3F6F8"/>
            <w:tcMar>
              <w:top w:w="90" w:type="dxa"/>
              <w:left w:w="100" w:type="dxa"/>
              <w:bottom w:w="90" w:type="dxa"/>
              <w:right w:w="100" w:type="dxa"/>
            </w:tcMar>
            <w:vAlign w:val="center"/>
          </w:tcPr>
          <w:p>
            <w:r>
              <w:rPr/>
              <w:t xml:space="preserve">Return rate</w:t>
            </w:r>
          </w:p>
        </w:tc>
        <w:tc>
          <w:tcPr>
            <w:shd w:fill="F3F6F8"/>
            <w:tcMar>
              <w:top w:w="90" w:type="dxa"/>
              <w:left w:w="100" w:type="dxa"/>
              <w:bottom w:w="90" w:type="dxa"/>
              <w:right w:w="100" w:type="dxa"/>
            </w:tcMar>
            <w:vAlign w:val="center"/>
          </w:tcPr>
          <w:p>
            <w:r>
              <w:rPr/>
              <w:t xml:space="preserve">5.52%</w:t>
            </w:r>
          </w:p>
        </w:tc>
      </w:tr>
      <w:tr>
        <w:tc>
          <w:tcPr>
            <w:shd w:fill="FFFFFF"/>
            <w:tcMar>
              <w:top w:w="90" w:type="dxa"/>
              <w:left w:w="100" w:type="dxa"/>
              <w:bottom w:w="90" w:type="dxa"/>
              <w:right w:w="100" w:type="dxa"/>
            </w:tcMar>
            <w:vAlign w:val="center"/>
          </w:tcPr>
          <w:p>
            <w:r>
              <w:rPr/>
              <w:t xml:space="preserve">Average delivery time</w:t>
            </w:r>
          </w:p>
        </w:tc>
        <w:tc>
          <w:tcPr>
            <w:shd w:fill="FFFFFF"/>
            <w:tcMar>
              <w:top w:w="90" w:type="dxa"/>
              <w:left w:w="100" w:type="dxa"/>
              <w:bottom w:w="90" w:type="dxa"/>
              <w:right w:w="100" w:type="dxa"/>
            </w:tcMar>
            <w:vAlign w:val="center"/>
          </w:tcPr>
          <w:p>
            <w:r>
              <w:rPr/>
              <w:t xml:space="preserve">4.81 days</w:t>
            </w:r>
          </w:p>
        </w:tc>
      </w:tr>
      <w:tr>
        <w:tc>
          <w:tcPr>
            <w:shd w:fill="F3F6F8"/>
            <w:tcMar>
              <w:top w:w="90" w:type="dxa"/>
              <w:left w:w="100" w:type="dxa"/>
              <w:bottom w:w="90" w:type="dxa"/>
              <w:right w:w="100" w:type="dxa"/>
            </w:tcMar>
            <w:vAlign w:val="center"/>
          </w:tcPr>
          <w:p>
            <w:r>
              <w:rPr/>
              <w:t xml:space="preserve">Shipping cost</w:t>
            </w:r>
          </w:p>
        </w:tc>
        <w:tc>
          <w:tcPr>
            <w:shd w:fill="F3F6F8"/>
            <w:tcMar>
              <w:top w:w="90" w:type="dxa"/>
              <w:left w:w="100" w:type="dxa"/>
              <w:bottom w:w="90" w:type="dxa"/>
              <w:right w:w="100" w:type="dxa"/>
            </w:tcMar>
            <w:vAlign w:val="center"/>
          </w:tcPr>
          <w:p>
            <w:r>
              <w:rPr/>
              <w:t xml:space="preserve">212,248.13</w:t>
            </w:r>
          </w:p>
        </w:tc>
      </w:tr>
    </w:tbl>
    <w:p>
      <w:pPr>
        <w:pStyle w:val="Heading1"/>
      </w:pPr>
      <w:r>
        <w:t xml:space="preserve">Business questions and analysis</w:t>
      </w:r>
    </w:p>
    <w:p>
      <w:pPr>
        <w:pStyle w:val="Heading2"/>
      </w:pPr>
      <w:r>
        <w:t xml:space="preserve">1 What is the overall business performance</w:t>
      </w:r>
    </w:p>
    <w:p>
      <w:r>
        <w:rPr>
          <w:b/>
        </w:rPr>
        <w:t xml:space="preserve">How the question was answered</w:t>
      </w:r>
    </w:p>
    <w:p>
      <w:r>
        <w:t xml:space="preserve">Sales, profit, order count, units, shipping cost, average order value, profit rate, and return rate were aggregated across all orders.</w:t>
      </w:r>
    </w:p>
    <w:p>
      <w:r>
        <w:rPr>
          <w:b/>
        </w:rPr>
        <w:t xml:space="preserve">Result</w:t>
      </w:r>
    </w:p>
    <w:p>
      <w:r>
        <w:t xml:space="preserve">The store generated 5.87 million in sales and 970.02 thousand in profit, a 16.54% profit rate. The average order value was 170.01 and 5.52% of orders were returned. Shipping cost was 212.25 thousand, or 3.62% of sales.</w:t>
      </w:r>
    </w:p>
    <w:p>
      <w:r>
        <w:rPr>
          <w:b/>
        </w:rPr>
        <w:t xml:space="preserve">Business insight</w:t>
      </w:r>
    </w:p>
    <w:p>
      <w:r>
        <w:t xml:space="preserve">The sales base is strong, but returns and delivery costs remain material levers for improving profitability.</w:t>
      </w:r>
    </w:p>
    <w:p>
      <w:r>
        <w:rPr>
          <w:b/>
        </w:rPr>
        <w:t xml:space="preserve">How this helps the business</w:t>
      </w:r>
    </w:p>
    <w:p>
      <w:r>
        <w:t xml:space="preserve">Creates the baseline for tracking future improvements in profit, returns, and fulfillment efficiency.</w:t>
      </w:r>
    </w:p>
    <w:p>
      <w:pPr>
        <w:pStyle w:val="Heading2"/>
      </w:pPr>
      <w:r>
        <w:t xml:space="preserve">2 Which product categories lead performance and which need action</w:t>
      </w:r>
    </w:p>
    <w:p>
      <w:r>
        <w:rPr>
          <w:b/>
        </w:rPr>
        <w:t xml:space="preserve">How the question was answered</w:t>
      </w:r>
    </w:p>
    <w:p>
      <w:r>
        <w:t xml:space="preserve">Orders were grouped by category and compared on sales, profit, profit rate, and return rate.</w:t>
      </w:r>
    </w:p>
    <w:p>
      <w:r>
        <w:rPr>
          <w:b/>
        </w:rPr>
        <w:t xml:space="preserve">Result</w:t>
      </w:r>
    </w:p>
    <w:p>
      <w:r>
        <w:t xml:space="preserve">Electronics leads sales with 3.32 million, or 56.6% of total sales, but its profit rate is only 10.38%. Home generated 1.08 million at a 24.37% rate. Grocery generated 82.00 thousand but lost 9.19 thousand, a -11.20% rate. Fashion has the highest return rate at 8.28%.</w:t>
      </w:r>
    </w:p>
    <w:p>
      <w:r>
        <w:rPr>
          <w:b/>
        </w:rPr>
        <w:t xml:space="preserve">Business insight</w:t>
      </w:r>
    </w:p>
    <w:p>
      <w:r>
        <w:t xml:space="preserve">Electronics provides scale but has weak relative profitability. Grocery is eroding profit, while Fashion needs return reduction despite a healthy margin.</w:t>
      </w:r>
    </w:p>
    <w:p>
      <w:r>
        <w:rPr>
          <w:b/>
        </w:rPr>
        <w:t xml:space="preserve">How this helps the business</w:t>
      </w:r>
    </w:p>
    <w:p>
      <w:r>
        <w:t xml:space="preserve">Prioritizes pricing and cost review for Electronics, corrective action for Grocery, and product-information or quality improvements for Fashion.</w:t>
      </w:r>
    </w:p>
    <w:p>
      <w:pPr>
        <w:pStyle w:val="Heading2"/>
      </w:pPr>
      <w:r>
        <w:t xml:space="preserve">3 Which regions are strongest and where is delivery performance weak</w:t>
      </w:r>
    </w:p>
    <w:p>
      <w:r>
        <w:rPr>
          <w:b/>
        </w:rPr>
        <w:t xml:space="preserve">How the question was answered</w:t>
      </w:r>
    </w:p>
    <w:p>
      <w:r>
        <w:t xml:space="preserve">Sales, profit, return rate, and average delivery days were calculated by region.</w:t>
      </w:r>
    </w:p>
    <w:p>
      <w:r>
        <w:rPr>
          <w:b/>
        </w:rPr>
        <w:t xml:space="preserve">Result</w:t>
      </w:r>
    </w:p>
    <w:p>
      <w:r>
        <w:t xml:space="preserve">South is the largest region by sales at 1.30 million and profit at 211.08 thousand, but delivery averages 5.01 days. East is the slowest at 5.99 days and has the highest regional return rate at 5.91%. North is the fastest at 3.98 days. Central has the best regional profit rate at 16.80%.</w:t>
      </w:r>
    </w:p>
    <w:p>
      <w:r>
        <w:rPr>
          <w:b/>
        </w:rPr>
        <w:t xml:space="preserve">Business insight</w:t>
      </w:r>
    </w:p>
    <w:p>
      <w:r>
        <w:t xml:space="preserve">East combines weak delivery speed with elevated returns, making it the most important operating risk. South is a large market where delivery service can be improved.</w:t>
      </w:r>
    </w:p>
    <w:p>
      <w:r>
        <w:rPr>
          <w:b/>
        </w:rPr>
        <w:t xml:space="preserve">How this helps the business</w:t>
      </w:r>
    </w:p>
    <w:p>
      <w:r>
        <w:t xml:space="preserve">Focuses logistics and carrier reviews where they can protect customer experience and profitable revenue.</w:t>
      </w:r>
    </w:p>
    <w:p>
      <w:pPr>
        <w:pStyle w:val="Heading2"/>
      </w:pPr>
      <w:r>
        <w:t xml:space="preserve">4 Where are return risks concentrated</w:t>
      </w:r>
    </w:p>
    <w:p>
      <w:r>
        <w:rPr>
          <w:b/>
        </w:rPr>
        <w:t xml:space="preserve">How the question was answered</w:t>
      </w:r>
    </w:p>
    <w:p>
      <w:r>
        <w:t xml:space="preserve">Return counts and rates were compared by category and region. Average delivery time was also compared between returned and non-returned orders.</w:t>
      </w:r>
    </w:p>
    <w:p>
      <w:r>
        <w:rPr>
          <w:b/>
        </w:rPr>
        <w:t xml:space="preserve">Result</w:t>
      </w:r>
    </w:p>
    <w:p>
      <w:r>
        <w:t xml:space="preserve">Fashion recorded 518 returns at 8.28%, followed by Electronics with 451 at 7.30%. East has the highest regional rate at 5.91%. Returned orders averaged 4.84 delivery days versus 4.81 for non-returned orders, a negligible 0.02-day difference.</w:t>
      </w:r>
    </w:p>
    <w:p>
      <w:r>
        <w:rPr>
          <w:b/>
        </w:rPr>
        <w:t xml:space="preserve">Business insight</w:t>
      </w:r>
    </w:p>
    <w:p>
      <w:r>
        <w:t xml:space="preserve">Returns are more likely to be associated with product expectations or product quality than with average delivery time alone, especially in Fashion and Electronics.</w:t>
      </w:r>
    </w:p>
    <w:p>
      <w:r>
        <w:rPr>
          <w:b/>
        </w:rPr>
        <w:t xml:space="preserve">How this helps the business</w:t>
      </w:r>
    </w:p>
    <w:p>
      <w:r>
        <w:t xml:space="preserve">Guides deeper root-cause work at product level, including size information, descriptions, quality checks, and return-reason collection.</w:t>
      </w:r>
    </w:p>
    <w:p>
      <w:pPr>
        <w:pStyle w:val="Heading2"/>
      </w:pPr>
      <w:r>
        <w:t xml:space="preserve">5 Is performance improving over time</w:t>
      </w:r>
    </w:p>
    <w:p>
      <w:r>
        <w:rPr>
          <w:b/>
        </w:rPr>
        <w:t xml:space="preserve">How the question was answered</w:t>
      </w:r>
    </w:p>
    <w:p>
      <w:r>
        <w:t xml:space="preserve">Monthly results were calculated, then January to August 2024 was compared with the equivalent January to August 2025 period.</w:t>
      </w:r>
    </w:p>
    <w:p>
      <w:r>
        <w:rPr>
          <w:b/>
        </w:rPr>
        <w:t xml:space="preserve">Result</w:t>
      </w:r>
    </w:p>
    <w:p>
      <w:r>
        <w:t xml:space="preserve">Sales increased from 1.925 million to 1.933 million, up 0.43%. Orders grew from 11,290 to 11,584, up 2.60%. Average order value fell from 170.47 to 166.85, down 2.12%, while profit rate stayed close to 16.6%.</w:t>
      </w:r>
    </w:p>
    <w:p>
      <w:r>
        <w:rPr>
          <w:b/>
        </w:rPr>
        <w:t xml:space="preserve">Business insight</w:t>
      </w:r>
    </w:p>
    <w:p>
      <w:r>
        <w:t xml:space="preserve">Recent growth is driven by more orders rather than larger baskets. Stable margins are positive, but lower order value limits sales growth.</w:t>
      </w:r>
    </w:p>
    <w:p>
      <w:r>
        <w:rPr>
          <w:b/>
        </w:rPr>
        <w:t xml:space="preserve">How this helps the business</w:t>
      </w:r>
    </w:p>
    <w:p>
      <w:r>
        <w:t xml:space="preserve">Supports testing cross-sell, bundles, or carefully controlled free-shipping thresholds to raise basket value without harming margin.</w:t>
      </w:r>
    </w:p>
    <w:p>
      <w:pPr>
        <w:pStyle w:val="Heading2"/>
      </w:pPr>
      <w:r>
        <w:t xml:space="preserve">6 Do payment methods differ in value or risk</w:t>
      </w:r>
    </w:p>
    <w:p>
      <w:r>
        <w:rPr>
          <w:b/>
        </w:rPr>
        <w:t xml:space="preserve">How the question was answered</w:t>
      </w:r>
    </w:p>
    <w:p>
      <w:r>
        <w:t xml:space="preserve">Sales, profit, average order value, and return rate were compared by payment method.</w:t>
      </w:r>
    </w:p>
    <w:p>
      <w:r>
        <w:rPr>
          <w:b/>
        </w:rPr>
        <w:t xml:space="preserve">Result</w:t>
      </w:r>
    </w:p>
    <w:p>
      <w:r>
        <w:t xml:space="preserve">Credit Card is the largest method with 2.06 million in sales and 12,170 orders. Wallet has the best profit rate at 17.03% but only 5.84% of sales. COD has the highest average order value at 172.01 and the lowest return rate at 5.10%. PayPal has the highest payment-method return rate at 5.78%.</w:t>
      </w:r>
    </w:p>
    <w:p>
      <w:r>
        <w:rPr>
          <w:b/>
        </w:rPr>
        <w:t xml:space="preserve">Business insight</w:t>
      </w:r>
    </w:p>
    <w:p>
      <w:r>
        <w:t xml:space="preserve">Differences are generally modest, although Wallet has relatively stronger profitability and COD has lower return risk.</w:t>
      </w:r>
    </w:p>
    <w:p>
      <w:r>
        <w:rPr>
          <w:b/>
        </w:rPr>
        <w:t xml:space="preserve">How this helps the business</w:t>
      </w:r>
    </w:p>
    <w:p>
      <w:r>
        <w:t xml:space="preserve">Supports targeted payment incentives and a review of PayPal-related fees or return behavior.</w:t>
      </w:r>
    </w:p>
    <w:p>
      <w:pPr>
        <w:pStyle w:val="Heading2"/>
      </w:pPr>
      <w:r>
        <w:t xml:space="preserve">7 How important are repeat customers</w:t>
      </w:r>
    </w:p>
    <w:p>
      <w:r>
        <w:rPr>
          <w:b/>
        </w:rPr>
        <w:t xml:space="preserve">How the question was answered</w:t>
      </w:r>
    </w:p>
    <w:p>
      <w:r>
        <w:t xml:space="preserve">Orders were counted per customer_id and customers with more than one order were identified.</w:t>
      </w:r>
    </w:p>
    <w:p>
      <w:r>
        <w:rPr>
          <w:b/>
        </w:rPr>
        <w:t xml:space="preserve">Result</w:t>
      </w:r>
    </w:p>
    <w:p>
      <w:r>
        <w:t xml:space="preserve">There are 7,903 customers, of whom 7,428, or 94.0%, placed more than one order. The average is 4.36 orders per customer, and the highest observed count is 13 orders.</w:t>
      </w:r>
    </w:p>
    <w:p>
      <w:r>
        <w:rPr>
          <w:b/>
        </w:rPr>
        <w:t xml:space="preserve">Business insight</w:t>
      </w:r>
    </w:p>
    <w:p>
      <w:r>
        <w:t xml:space="preserve">The business has a substantial repeat-customer base, making retention and post-purchase experience important growth levers.</w:t>
      </w:r>
    </w:p>
    <w:p>
      <w:r>
        <w:rPr>
          <w:b/>
        </w:rPr>
        <w:t xml:space="preserve">How this helps the business</w:t>
      </w:r>
    </w:p>
    <w:p>
      <w:r>
        <w:t xml:space="preserve">Supports loyalty offers and repeat-customer targeting, while checking profitability and return behavior before discounting.</w:t>
      </w:r>
    </w:p>
    <w:p>
      <w:pPr>
        <w:pStyle w:val="Heading1"/>
      </w:pPr>
      <w:r>
        <w:t xml:space="preserve">Category results</w:t>
      </w:r>
    </w:p>
    <w:tbl>
      <w:tblPr>
        <w:tblBorders>
          <w:top w:val="single" w:sz="4" w:color="D9D9D9"/>
          <w:left w:val="single" w:sz="4" w:color="D9D9D9"/>
          <w:bottom w:val="single" w:sz="4" w:color="D9D9D9"/>
          <w:right w:val="single" w:sz="4" w:color="D9D9D9"/>
          <w:insideH w:val="single" w:sz="3" w:color="D9D9D9"/>
          <w:insideV w:val="single" w:sz="3" w:color="D9D9D9"/>
        </w:tblBorders>
      </w:tblPr>
      <w:tblGrid>
        <w:gridCol w:w="1800"/>
        <w:gridCol w:w="1800"/>
        <w:gridCol w:w="1800"/>
        <w:gridCol w:w="1800"/>
        <w:gridCol w:w="1800"/>
      </w:tblGrid>
      <w:tr>
        <w:tc>
          <w:tcPr>
            <w:shd w:fill="1F4E78"/>
            <w:tcMar>
              <w:top w:w="90" w:type="dxa"/>
              <w:left w:w="100" w:type="dxa"/>
              <w:bottom w:w="90" w:type="dxa"/>
              <w:right w:w="100" w:type="dxa"/>
            </w:tcMar>
            <w:vAlign w:val="center"/>
          </w:tcPr>
          <w:p>
            <w:r>
              <w:rPr>
                <w:b/>
                <w:color w:val="FFFFFF"/>
              </w:rPr>
              <w:t xml:space="preserve">Category</w:t>
            </w:r>
          </w:p>
        </w:tc>
        <w:tc>
          <w:tcPr>
            <w:shd w:fill="1F4E78"/>
            <w:tcMar>
              <w:top w:w="90" w:type="dxa"/>
              <w:left w:w="100" w:type="dxa"/>
              <w:bottom w:w="90" w:type="dxa"/>
              <w:right w:w="100" w:type="dxa"/>
            </w:tcMar>
            <w:vAlign w:val="center"/>
          </w:tcPr>
          <w:p>
            <w:r>
              <w:rPr>
                <w:b/>
                <w:color w:val="FFFFFF"/>
              </w:rPr>
              <w:t xml:space="preserve">Sales</w:t>
            </w:r>
          </w:p>
        </w:tc>
        <w:tc>
          <w:tcPr>
            <w:shd w:fill="1F4E78"/>
            <w:tcMar>
              <w:top w:w="90" w:type="dxa"/>
              <w:left w:w="100" w:type="dxa"/>
              <w:bottom w:w="90" w:type="dxa"/>
              <w:right w:w="100" w:type="dxa"/>
            </w:tcMar>
            <w:vAlign w:val="center"/>
          </w:tcPr>
          <w:p>
            <w:r>
              <w:rPr>
                <w:b/>
                <w:color w:val="FFFFFF"/>
              </w:rPr>
              <w:t xml:space="preserve">Profit</w:t>
            </w:r>
          </w:p>
        </w:tc>
        <w:tc>
          <w:tcPr>
            <w:shd w:fill="1F4E78"/>
            <w:tcMar>
              <w:top w:w="90" w:type="dxa"/>
              <w:left w:w="100" w:type="dxa"/>
              <w:bottom w:w="90" w:type="dxa"/>
              <w:right w:w="100" w:type="dxa"/>
            </w:tcMar>
            <w:vAlign w:val="center"/>
          </w:tcPr>
          <w:p>
            <w:r>
              <w:rPr>
                <w:b/>
                <w:color w:val="FFFFFF"/>
              </w:rPr>
              <w:t xml:space="preserve">Profit rate</w:t>
            </w:r>
          </w:p>
        </w:tc>
        <w:tc>
          <w:tcPr>
            <w:shd w:fill="1F4E78"/>
            <w:tcMar>
              <w:top w:w="90" w:type="dxa"/>
              <w:left w:w="100" w:type="dxa"/>
              <w:bottom w:w="90" w:type="dxa"/>
              <w:right w:w="100" w:type="dxa"/>
            </w:tcMar>
            <w:vAlign w:val="center"/>
          </w:tcPr>
          <w:p>
            <w:r>
              <w:rPr>
                <w:b/>
                <w:color w:val="FFFFFF"/>
              </w:rPr>
              <w:t xml:space="preserve">Return rate</w:t>
            </w:r>
          </w:p>
        </w:tc>
      </w:tr>
      <w:tr>
        <w:tc>
          <w:tcPr>
            <w:shd w:fill="FFFFFF"/>
            <w:tcMar>
              <w:top w:w="90" w:type="dxa"/>
              <w:left w:w="100" w:type="dxa"/>
              <w:bottom w:w="90" w:type="dxa"/>
              <w:right w:w="100" w:type="dxa"/>
            </w:tcMar>
            <w:vAlign w:val="center"/>
          </w:tcPr>
          <w:p>
            <w:r>
              <w:rPr/>
              <w:t xml:space="preserve">Electronics</w:t>
            </w:r>
          </w:p>
        </w:tc>
        <w:tc>
          <w:tcPr>
            <w:shd w:fill="FFFFFF"/>
            <w:tcMar>
              <w:top w:w="90" w:type="dxa"/>
              <w:left w:w="100" w:type="dxa"/>
              <w:bottom w:w="90" w:type="dxa"/>
              <w:right w:w="100" w:type="dxa"/>
            </w:tcMar>
            <w:vAlign w:val="center"/>
          </w:tcPr>
          <w:p>
            <w:r>
              <w:rPr/>
              <w:t xml:space="preserve">3,319,206.50</w:t>
            </w:r>
          </w:p>
        </w:tc>
        <w:tc>
          <w:tcPr>
            <w:shd w:fill="FFFFFF"/>
            <w:tcMar>
              <w:top w:w="90" w:type="dxa"/>
              <w:left w:w="100" w:type="dxa"/>
              <w:bottom w:w="90" w:type="dxa"/>
              <w:right w:w="100" w:type="dxa"/>
            </w:tcMar>
            <w:vAlign w:val="center"/>
          </w:tcPr>
          <w:p>
            <w:r>
              <w:rPr/>
              <w:t xml:space="preserve">344,371.77</w:t>
            </w:r>
          </w:p>
        </w:tc>
        <w:tc>
          <w:tcPr>
            <w:shd w:fill="FFFFFF"/>
            <w:tcMar>
              <w:top w:w="90" w:type="dxa"/>
              <w:left w:w="100" w:type="dxa"/>
              <w:bottom w:w="90" w:type="dxa"/>
              <w:right w:w="100" w:type="dxa"/>
            </w:tcMar>
            <w:vAlign w:val="center"/>
          </w:tcPr>
          <w:p>
            <w:r>
              <w:rPr/>
              <w:t xml:space="preserve">10.38%</w:t>
            </w:r>
          </w:p>
        </w:tc>
        <w:tc>
          <w:tcPr>
            <w:shd w:fill="FFFFFF"/>
            <w:tcMar>
              <w:top w:w="90" w:type="dxa"/>
              <w:left w:w="100" w:type="dxa"/>
              <w:bottom w:w="90" w:type="dxa"/>
              <w:right w:w="100" w:type="dxa"/>
            </w:tcMar>
            <w:vAlign w:val="center"/>
          </w:tcPr>
          <w:p>
            <w:r>
              <w:rPr/>
              <w:t xml:space="preserve">7.30%</w:t>
            </w:r>
          </w:p>
        </w:tc>
      </w:tr>
      <w:tr>
        <w:tc>
          <w:tcPr>
            <w:shd w:fill="F3F6F8"/>
            <w:tcMar>
              <w:top w:w="90" w:type="dxa"/>
              <w:left w:w="100" w:type="dxa"/>
              <w:bottom w:w="90" w:type="dxa"/>
              <w:right w:w="100" w:type="dxa"/>
            </w:tcMar>
            <w:vAlign w:val="center"/>
          </w:tcPr>
          <w:p>
            <w:r>
              <w:rPr/>
              <w:t xml:space="preserve">Home</w:t>
            </w:r>
          </w:p>
        </w:tc>
        <w:tc>
          <w:tcPr>
            <w:shd w:fill="F3F6F8"/>
            <w:tcMar>
              <w:top w:w="90" w:type="dxa"/>
              <w:left w:w="100" w:type="dxa"/>
              <w:bottom w:w="90" w:type="dxa"/>
              <w:right w:w="100" w:type="dxa"/>
            </w:tcMar>
            <w:vAlign w:val="center"/>
          </w:tcPr>
          <w:p>
            <w:r>
              <w:rPr/>
              <w:t xml:space="preserve">1,077,681.52</w:t>
            </w:r>
          </w:p>
        </w:tc>
        <w:tc>
          <w:tcPr>
            <w:shd w:fill="F3F6F8"/>
            <w:tcMar>
              <w:top w:w="90" w:type="dxa"/>
              <w:left w:w="100" w:type="dxa"/>
              <w:bottom w:w="90" w:type="dxa"/>
              <w:right w:w="100" w:type="dxa"/>
            </w:tcMar>
            <w:vAlign w:val="center"/>
          </w:tcPr>
          <w:p>
            <w:r>
              <w:rPr/>
              <w:t xml:space="preserve">262,633.70</w:t>
            </w:r>
          </w:p>
        </w:tc>
        <w:tc>
          <w:tcPr>
            <w:shd w:fill="F3F6F8"/>
            <w:tcMar>
              <w:top w:w="90" w:type="dxa"/>
              <w:left w:w="100" w:type="dxa"/>
              <w:bottom w:w="90" w:type="dxa"/>
              <w:right w:w="100" w:type="dxa"/>
            </w:tcMar>
            <w:vAlign w:val="center"/>
          </w:tcPr>
          <w:p>
            <w:r>
              <w:rPr/>
              <w:t xml:space="preserve">24.37%</w:t>
            </w:r>
          </w:p>
        </w:tc>
        <w:tc>
          <w:tcPr>
            <w:shd w:fill="F3F6F8"/>
            <w:tcMar>
              <w:top w:w="90" w:type="dxa"/>
              <w:left w:w="100" w:type="dxa"/>
              <w:bottom w:w="90" w:type="dxa"/>
              <w:right w:w="100" w:type="dxa"/>
            </w:tcMar>
            <w:vAlign w:val="center"/>
          </w:tcPr>
          <w:p>
            <w:r>
              <w:rPr/>
              <w:t xml:space="preserve">5.65%</w:t>
            </w:r>
          </w:p>
        </w:tc>
      </w:tr>
      <w:tr>
        <w:tc>
          <w:tcPr>
            <w:shd w:fill="FFFFFF"/>
            <w:tcMar>
              <w:top w:w="90" w:type="dxa"/>
              <w:left w:w="100" w:type="dxa"/>
              <w:bottom w:w="90" w:type="dxa"/>
              <w:right w:w="100" w:type="dxa"/>
            </w:tcMar>
            <w:vAlign w:val="center"/>
          </w:tcPr>
          <w:p>
            <w:r>
              <w:rPr/>
              <w:t xml:space="preserve">Sports</w:t>
            </w:r>
          </w:p>
        </w:tc>
        <w:tc>
          <w:tcPr>
            <w:shd w:fill="FFFFFF"/>
            <w:tcMar>
              <w:top w:w="90" w:type="dxa"/>
              <w:left w:w="100" w:type="dxa"/>
              <w:bottom w:w="90" w:type="dxa"/>
              <w:right w:w="100" w:type="dxa"/>
            </w:tcMar>
            <w:vAlign w:val="center"/>
          </w:tcPr>
          <w:p>
            <w:r>
              <w:rPr/>
              <w:t xml:space="preserve">629,825.54</w:t>
            </w:r>
          </w:p>
        </w:tc>
        <w:tc>
          <w:tcPr>
            <w:shd w:fill="FFFFFF"/>
            <w:tcMar>
              <w:top w:w="90" w:type="dxa"/>
              <w:left w:w="100" w:type="dxa"/>
              <w:bottom w:w="90" w:type="dxa"/>
              <w:right w:w="100" w:type="dxa"/>
            </w:tcMar>
            <w:vAlign w:val="center"/>
          </w:tcPr>
          <w:p>
            <w:r>
              <w:rPr/>
              <w:t xml:space="preserve">160,521.41</w:t>
            </w:r>
          </w:p>
        </w:tc>
        <w:tc>
          <w:tcPr>
            <w:shd w:fill="FFFFFF"/>
            <w:tcMar>
              <w:top w:w="90" w:type="dxa"/>
              <w:left w:w="100" w:type="dxa"/>
              <w:bottom w:w="90" w:type="dxa"/>
              <w:right w:w="100" w:type="dxa"/>
            </w:tcMar>
            <w:vAlign w:val="center"/>
          </w:tcPr>
          <w:p>
            <w:r>
              <w:rPr/>
              <w:t xml:space="preserve">25.49%</w:t>
            </w:r>
          </w:p>
        </w:tc>
        <w:tc>
          <w:tcPr>
            <w:shd w:fill="FFFFFF"/>
            <w:tcMar>
              <w:top w:w="90" w:type="dxa"/>
              <w:left w:w="100" w:type="dxa"/>
              <w:bottom w:w="90" w:type="dxa"/>
              <w:right w:w="100" w:type="dxa"/>
            </w:tcMar>
            <w:vAlign w:val="center"/>
          </w:tcPr>
          <w:p>
            <w:r>
              <w:rPr/>
              <w:t xml:space="preserve">4.94%</w:t>
            </w:r>
          </w:p>
        </w:tc>
      </w:tr>
      <w:tr>
        <w:tc>
          <w:tcPr>
            <w:shd w:fill="F3F6F8"/>
            <w:tcMar>
              <w:top w:w="90" w:type="dxa"/>
              <w:left w:w="100" w:type="dxa"/>
              <w:bottom w:w="90" w:type="dxa"/>
              <w:right w:w="100" w:type="dxa"/>
            </w:tcMar>
            <w:vAlign w:val="center"/>
          </w:tcPr>
          <w:p>
            <w:r>
              <w:rPr/>
              <w:t xml:space="preserve">Fashion</w:t>
            </w:r>
          </w:p>
        </w:tc>
        <w:tc>
          <w:tcPr>
            <w:shd w:fill="F3F6F8"/>
            <w:tcMar>
              <w:top w:w="90" w:type="dxa"/>
              <w:left w:w="100" w:type="dxa"/>
              <w:bottom w:w="90" w:type="dxa"/>
              <w:right w:w="100" w:type="dxa"/>
            </w:tcMar>
            <w:vAlign w:val="center"/>
          </w:tcPr>
          <w:p>
            <w:r>
              <w:rPr/>
              <w:t xml:space="preserve">471,545.80</w:t>
            </w:r>
          </w:p>
        </w:tc>
        <w:tc>
          <w:tcPr>
            <w:shd w:fill="F3F6F8"/>
            <w:tcMar>
              <w:top w:w="90" w:type="dxa"/>
              <w:left w:w="100" w:type="dxa"/>
              <w:bottom w:w="90" w:type="dxa"/>
              <w:right w:w="100" w:type="dxa"/>
            </w:tcMar>
            <w:vAlign w:val="center"/>
          </w:tcPr>
          <w:p>
            <w:r>
              <w:rPr/>
              <w:t xml:space="preserve">128,814.65</w:t>
            </w:r>
          </w:p>
        </w:tc>
        <w:tc>
          <w:tcPr>
            <w:shd w:fill="F3F6F8"/>
            <w:tcMar>
              <w:top w:w="90" w:type="dxa"/>
              <w:left w:w="100" w:type="dxa"/>
              <w:bottom w:w="90" w:type="dxa"/>
              <w:right w:w="100" w:type="dxa"/>
            </w:tcMar>
            <w:vAlign w:val="center"/>
          </w:tcPr>
          <w:p>
            <w:r>
              <w:rPr/>
              <w:t xml:space="preserve">27.32%</w:t>
            </w:r>
          </w:p>
        </w:tc>
        <w:tc>
          <w:tcPr>
            <w:shd w:fill="F3F6F8"/>
            <w:tcMar>
              <w:top w:w="90" w:type="dxa"/>
              <w:left w:w="100" w:type="dxa"/>
              <w:bottom w:w="90" w:type="dxa"/>
              <w:right w:w="100" w:type="dxa"/>
            </w:tcMar>
            <w:vAlign w:val="center"/>
          </w:tcPr>
          <w:p>
            <w:r>
              <w:rPr/>
              <w:t xml:space="preserve">8.28%</w:t>
            </w:r>
          </w:p>
        </w:tc>
      </w:tr>
      <w:tr>
        <w:tc>
          <w:tcPr>
            <w:shd w:fill="FFFFFF"/>
            <w:tcMar>
              <w:top w:w="90" w:type="dxa"/>
              <w:left w:w="100" w:type="dxa"/>
              <w:bottom w:w="90" w:type="dxa"/>
              <w:right w:w="100" w:type="dxa"/>
            </w:tcMar>
            <w:vAlign w:val="center"/>
          </w:tcPr>
          <w:p>
            <w:r>
              <w:rPr/>
              <w:t xml:space="preserve">Beauty</w:t>
            </w:r>
          </w:p>
        </w:tc>
        <w:tc>
          <w:tcPr>
            <w:shd w:fill="FFFFFF"/>
            <w:tcMar>
              <w:top w:w="90" w:type="dxa"/>
              <w:left w:w="100" w:type="dxa"/>
              <w:bottom w:w="90" w:type="dxa"/>
              <w:right w:w="100" w:type="dxa"/>
            </w:tcMar>
            <w:vAlign w:val="center"/>
          </w:tcPr>
          <w:p>
            <w:r>
              <w:rPr/>
              <w:t xml:space="preserve">153,019.38</w:t>
            </w:r>
          </w:p>
        </w:tc>
        <w:tc>
          <w:tcPr>
            <w:shd w:fill="FFFFFF"/>
            <w:tcMar>
              <w:top w:w="90" w:type="dxa"/>
              <w:left w:w="100" w:type="dxa"/>
              <w:bottom w:w="90" w:type="dxa"/>
              <w:right w:w="100" w:type="dxa"/>
            </w:tcMar>
            <w:vAlign w:val="center"/>
          </w:tcPr>
          <w:p>
            <w:r>
              <w:rPr/>
              <w:t xml:space="preserve">49,196.59</w:t>
            </w:r>
          </w:p>
        </w:tc>
        <w:tc>
          <w:tcPr>
            <w:shd w:fill="FFFFFF"/>
            <w:tcMar>
              <w:top w:w="90" w:type="dxa"/>
              <w:left w:w="100" w:type="dxa"/>
              <w:bottom w:w="90" w:type="dxa"/>
              <w:right w:w="100" w:type="dxa"/>
            </w:tcMar>
            <w:vAlign w:val="center"/>
          </w:tcPr>
          <w:p>
            <w:r>
              <w:rPr/>
              <w:t xml:space="preserve">32.15%</w:t>
            </w:r>
          </w:p>
        </w:tc>
        <w:tc>
          <w:tcPr>
            <w:shd w:fill="FFFFFF"/>
            <w:tcMar>
              <w:top w:w="90" w:type="dxa"/>
              <w:left w:w="100" w:type="dxa"/>
              <w:bottom w:w="90" w:type="dxa"/>
              <w:right w:w="100" w:type="dxa"/>
            </w:tcMar>
            <w:vAlign w:val="center"/>
          </w:tcPr>
          <w:p>
            <w:r>
              <w:rPr/>
              <w:t xml:space="preserve">3.78%</w:t>
            </w:r>
          </w:p>
        </w:tc>
      </w:tr>
      <w:tr>
        <w:tc>
          <w:tcPr>
            <w:shd w:fill="F3F6F8"/>
            <w:tcMar>
              <w:top w:w="90" w:type="dxa"/>
              <w:left w:w="100" w:type="dxa"/>
              <w:bottom w:w="90" w:type="dxa"/>
              <w:right w:w="100" w:type="dxa"/>
            </w:tcMar>
            <w:vAlign w:val="center"/>
          </w:tcPr>
          <w:p>
            <w:r>
              <w:rPr/>
              <w:t xml:space="preserve">Toys</w:t>
            </w:r>
          </w:p>
        </w:tc>
        <w:tc>
          <w:tcPr>
            <w:shd w:fill="F3F6F8"/>
            <w:tcMar>
              <w:top w:w="90" w:type="dxa"/>
              <w:left w:w="100" w:type="dxa"/>
              <w:bottom w:w="90" w:type="dxa"/>
              <w:right w:w="100" w:type="dxa"/>
            </w:tcMar>
            <w:vAlign w:val="center"/>
          </w:tcPr>
          <w:p>
            <w:r>
              <w:rPr/>
              <w:t xml:space="preserve">132,013.80</w:t>
            </w:r>
          </w:p>
        </w:tc>
        <w:tc>
          <w:tcPr>
            <w:shd w:fill="F3F6F8"/>
            <w:tcMar>
              <w:top w:w="90" w:type="dxa"/>
              <w:left w:w="100" w:type="dxa"/>
              <w:bottom w:w="90" w:type="dxa"/>
              <w:right w:w="100" w:type="dxa"/>
            </w:tcMar>
            <w:vAlign w:val="center"/>
          </w:tcPr>
          <w:p>
            <w:r>
              <w:rPr/>
              <w:t xml:space="preserve">33,669.25</w:t>
            </w:r>
          </w:p>
        </w:tc>
        <w:tc>
          <w:tcPr>
            <w:shd w:fill="F3F6F8"/>
            <w:tcMar>
              <w:top w:w="90" w:type="dxa"/>
              <w:left w:w="100" w:type="dxa"/>
              <w:bottom w:w="90" w:type="dxa"/>
              <w:right w:w="100" w:type="dxa"/>
            </w:tcMar>
            <w:vAlign w:val="center"/>
          </w:tcPr>
          <w:p>
            <w:r>
              <w:rPr/>
              <w:t xml:space="preserve">25.50%</w:t>
            </w:r>
          </w:p>
        </w:tc>
        <w:tc>
          <w:tcPr>
            <w:shd w:fill="F3F6F8"/>
            <w:tcMar>
              <w:top w:w="90" w:type="dxa"/>
              <w:left w:w="100" w:type="dxa"/>
              <w:bottom w:w="90" w:type="dxa"/>
              <w:right w:w="100" w:type="dxa"/>
            </w:tcMar>
            <w:vAlign w:val="center"/>
          </w:tcPr>
          <w:p>
            <w:r>
              <w:rPr/>
              <w:t xml:space="preserve">4.94%</w:t>
            </w:r>
          </w:p>
        </w:tc>
      </w:tr>
      <w:tr>
        <w:tc>
          <w:tcPr>
            <w:shd w:fill="FFFFFF"/>
            <w:tcMar>
              <w:top w:w="90" w:type="dxa"/>
              <w:left w:w="100" w:type="dxa"/>
              <w:bottom w:w="90" w:type="dxa"/>
              <w:right w:w="100" w:type="dxa"/>
            </w:tcMar>
            <w:vAlign w:val="center"/>
          </w:tcPr>
          <w:p>
            <w:r>
              <w:rPr/>
              <w:t xml:space="preserve">Grocery</w:t>
            </w:r>
          </w:p>
        </w:tc>
        <w:tc>
          <w:tcPr>
            <w:shd w:fill="FFFFFF"/>
            <w:tcMar>
              <w:top w:w="90" w:type="dxa"/>
              <w:left w:w="100" w:type="dxa"/>
              <w:bottom w:w="90" w:type="dxa"/>
              <w:right w:w="100" w:type="dxa"/>
            </w:tcMar>
            <w:vAlign w:val="center"/>
          </w:tcPr>
          <w:p>
            <w:r>
              <w:rPr/>
              <w:t xml:space="preserve">82,000.51</w:t>
            </w:r>
          </w:p>
        </w:tc>
        <w:tc>
          <w:tcPr>
            <w:shd w:fill="FFFFFF"/>
            <w:tcMar>
              <w:top w:w="90" w:type="dxa"/>
              <w:left w:w="100" w:type="dxa"/>
              <w:bottom w:w="90" w:type="dxa"/>
              <w:right w:w="100" w:type="dxa"/>
            </w:tcMar>
            <w:vAlign w:val="center"/>
          </w:tcPr>
          <w:p>
            <w:r>
              <w:rPr/>
              <w:t xml:space="preserve">-9,187.96</w:t>
            </w:r>
          </w:p>
        </w:tc>
        <w:tc>
          <w:tcPr>
            <w:shd w:fill="FFFFFF"/>
            <w:tcMar>
              <w:top w:w="90" w:type="dxa"/>
              <w:left w:w="100" w:type="dxa"/>
              <w:bottom w:w="90" w:type="dxa"/>
              <w:right w:w="100" w:type="dxa"/>
            </w:tcMar>
            <w:vAlign w:val="center"/>
          </w:tcPr>
          <w:p>
            <w:r>
              <w:rPr/>
              <w:t xml:space="preserve">-11.20%</w:t>
            </w:r>
          </w:p>
        </w:tc>
        <w:tc>
          <w:tcPr>
            <w:shd w:fill="FFFFFF"/>
            <w:tcMar>
              <w:top w:w="90" w:type="dxa"/>
              <w:left w:w="100" w:type="dxa"/>
              <w:bottom w:w="90" w:type="dxa"/>
              <w:right w:w="100" w:type="dxa"/>
            </w:tcMar>
            <w:vAlign w:val="center"/>
          </w:tcPr>
          <w:p>
            <w:r>
              <w:rPr/>
              <w:t xml:space="preserve">1.31%</w:t>
            </w:r>
          </w:p>
        </w:tc>
      </w:tr>
    </w:tbl>
    <w:p>
      <w:pPr>
        <w:pStyle w:val="Heading1"/>
      </w:pPr>
      <w:r>
        <w:t xml:space="preserve">Regional results</w:t>
      </w:r>
    </w:p>
    <w:tbl>
      <w:tblPr>
        <w:tblBorders>
          <w:top w:val="single" w:sz="4" w:color="D9D9D9"/>
          <w:left w:val="single" w:sz="4" w:color="D9D9D9"/>
          <w:bottom w:val="single" w:sz="4" w:color="D9D9D9"/>
          <w:right w:val="single" w:sz="4" w:color="D9D9D9"/>
          <w:insideH w:val="single" w:sz="3" w:color="D9D9D9"/>
          <w:insideV w:val="single" w:sz="3" w:color="D9D9D9"/>
        </w:tblBorders>
      </w:tblPr>
      <w:tblGrid>
        <w:gridCol w:w="1800"/>
        <w:gridCol w:w="1800"/>
        <w:gridCol w:w="1800"/>
        <w:gridCol w:w="1800"/>
        <w:gridCol w:w="1800"/>
      </w:tblGrid>
      <w:tr>
        <w:tc>
          <w:tcPr>
            <w:shd w:fill="1F4E78"/>
            <w:tcMar>
              <w:top w:w="90" w:type="dxa"/>
              <w:left w:w="100" w:type="dxa"/>
              <w:bottom w:w="90" w:type="dxa"/>
              <w:right w:w="100" w:type="dxa"/>
            </w:tcMar>
            <w:vAlign w:val="center"/>
          </w:tcPr>
          <w:p>
            <w:r>
              <w:rPr>
                <w:b/>
                <w:color w:val="FFFFFF"/>
              </w:rPr>
              <w:t xml:space="preserve">Region</w:t>
            </w:r>
          </w:p>
        </w:tc>
        <w:tc>
          <w:tcPr>
            <w:shd w:fill="1F4E78"/>
            <w:tcMar>
              <w:top w:w="90" w:type="dxa"/>
              <w:left w:w="100" w:type="dxa"/>
              <w:bottom w:w="90" w:type="dxa"/>
              <w:right w:w="100" w:type="dxa"/>
            </w:tcMar>
            <w:vAlign w:val="center"/>
          </w:tcPr>
          <w:p>
            <w:r>
              <w:rPr>
                <w:b/>
                <w:color w:val="FFFFFF"/>
              </w:rPr>
              <w:t xml:space="preserve">Sales</w:t>
            </w:r>
          </w:p>
        </w:tc>
        <w:tc>
          <w:tcPr>
            <w:shd w:fill="1F4E78"/>
            <w:tcMar>
              <w:top w:w="90" w:type="dxa"/>
              <w:left w:w="100" w:type="dxa"/>
              <w:bottom w:w="90" w:type="dxa"/>
              <w:right w:w="100" w:type="dxa"/>
            </w:tcMar>
            <w:vAlign w:val="center"/>
          </w:tcPr>
          <w:p>
            <w:r>
              <w:rPr>
                <w:b/>
                <w:color w:val="FFFFFF"/>
              </w:rPr>
              <w:t xml:space="preserve">Profit</w:t>
            </w:r>
          </w:p>
        </w:tc>
        <w:tc>
          <w:tcPr>
            <w:shd w:fill="1F4E78"/>
            <w:tcMar>
              <w:top w:w="90" w:type="dxa"/>
              <w:left w:w="100" w:type="dxa"/>
              <w:bottom w:w="90" w:type="dxa"/>
              <w:right w:w="100" w:type="dxa"/>
            </w:tcMar>
            <w:vAlign w:val="center"/>
          </w:tcPr>
          <w:p>
            <w:r>
              <w:rPr>
                <w:b/>
                <w:color w:val="FFFFFF"/>
              </w:rPr>
              <w:t xml:space="preserve">Average delivery</w:t>
            </w:r>
          </w:p>
        </w:tc>
        <w:tc>
          <w:tcPr>
            <w:shd w:fill="1F4E78"/>
            <w:tcMar>
              <w:top w:w="90" w:type="dxa"/>
              <w:left w:w="100" w:type="dxa"/>
              <w:bottom w:w="90" w:type="dxa"/>
              <w:right w:w="100" w:type="dxa"/>
            </w:tcMar>
            <w:vAlign w:val="center"/>
          </w:tcPr>
          <w:p>
            <w:r>
              <w:rPr>
                <w:b/>
                <w:color w:val="FFFFFF"/>
              </w:rPr>
              <w:t xml:space="preserve">Return rate</w:t>
            </w:r>
          </w:p>
        </w:tc>
      </w:tr>
      <w:tr>
        <w:tc>
          <w:tcPr>
            <w:shd w:fill="FFFFFF"/>
            <w:tcMar>
              <w:top w:w="90" w:type="dxa"/>
              <w:left w:w="100" w:type="dxa"/>
              <w:bottom w:w="90" w:type="dxa"/>
              <w:right w:w="100" w:type="dxa"/>
            </w:tcMar>
            <w:vAlign w:val="center"/>
          </w:tcPr>
          <w:p>
            <w:r>
              <w:rPr/>
              <w:t xml:space="preserve">South</w:t>
            </w:r>
          </w:p>
        </w:tc>
        <w:tc>
          <w:tcPr>
            <w:shd w:fill="FFFFFF"/>
            <w:tcMar>
              <w:top w:w="90" w:type="dxa"/>
              <w:left w:w="100" w:type="dxa"/>
              <w:bottom w:w="90" w:type="dxa"/>
              <w:right w:w="100" w:type="dxa"/>
            </w:tcMar>
            <w:vAlign w:val="center"/>
          </w:tcPr>
          <w:p>
            <w:r>
              <w:rPr/>
              <w:t xml:space="preserve">1,298,096.07</w:t>
            </w:r>
          </w:p>
        </w:tc>
        <w:tc>
          <w:tcPr>
            <w:shd w:fill="FFFFFF"/>
            <w:tcMar>
              <w:top w:w="90" w:type="dxa"/>
              <w:left w:w="100" w:type="dxa"/>
              <w:bottom w:w="90" w:type="dxa"/>
              <w:right w:w="100" w:type="dxa"/>
            </w:tcMar>
            <w:vAlign w:val="center"/>
          </w:tcPr>
          <w:p>
            <w:r>
              <w:rPr/>
              <w:t xml:space="preserve">211,081.17</w:t>
            </w:r>
          </w:p>
        </w:tc>
        <w:tc>
          <w:tcPr>
            <w:shd w:fill="FFFFFF"/>
            <w:tcMar>
              <w:top w:w="90" w:type="dxa"/>
              <w:left w:w="100" w:type="dxa"/>
              <w:bottom w:w="90" w:type="dxa"/>
              <w:right w:w="100" w:type="dxa"/>
            </w:tcMar>
            <w:vAlign w:val="center"/>
          </w:tcPr>
          <w:p>
            <w:r>
              <w:rPr/>
              <w:t xml:space="preserve">5.01 days</w:t>
            </w:r>
          </w:p>
        </w:tc>
        <w:tc>
          <w:tcPr>
            <w:shd w:fill="FFFFFF"/>
            <w:tcMar>
              <w:top w:w="90" w:type="dxa"/>
              <w:left w:w="100" w:type="dxa"/>
              <w:bottom w:w="90" w:type="dxa"/>
              <w:right w:w="100" w:type="dxa"/>
            </w:tcMar>
            <w:vAlign w:val="center"/>
          </w:tcPr>
          <w:p>
            <w:r>
              <w:rPr/>
              <w:t xml:space="preserve">5.68%</w:t>
            </w:r>
          </w:p>
        </w:tc>
      </w:tr>
      <w:tr>
        <w:tc>
          <w:tcPr>
            <w:shd w:fill="F3F6F8"/>
            <w:tcMar>
              <w:top w:w="90" w:type="dxa"/>
              <w:left w:w="100" w:type="dxa"/>
              <w:bottom w:w="90" w:type="dxa"/>
              <w:right w:w="100" w:type="dxa"/>
            </w:tcMar>
            <w:vAlign w:val="center"/>
          </w:tcPr>
          <w:p>
            <w:r>
              <w:rPr/>
              <w:t xml:space="preserve">North</w:t>
            </w:r>
          </w:p>
        </w:tc>
        <w:tc>
          <w:tcPr>
            <w:shd w:fill="F3F6F8"/>
            <w:tcMar>
              <w:top w:w="90" w:type="dxa"/>
              <w:left w:w="100" w:type="dxa"/>
              <w:bottom w:w="90" w:type="dxa"/>
              <w:right w:w="100" w:type="dxa"/>
            </w:tcMar>
            <w:vAlign w:val="center"/>
          </w:tcPr>
          <w:p>
            <w:r>
              <w:rPr/>
              <w:t xml:space="preserve">1,264,008.35</w:t>
            </w:r>
          </w:p>
        </w:tc>
        <w:tc>
          <w:tcPr>
            <w:shd w:fill="F3F6F8"/>
            <w:tcMar>
              <w:top w:w="90" w:type="dxa"/>
              <w:left w:w="100" w:type="dxa"/>
              <w:bottom w:w="90" w:type="dxa"/>
              <w:right w:w="100" w:type="dxa"/>
            </w:tcMar>
            <w:vAlign w:val="center"/>
          </w:tcPr>
          <w:p>
            <w:r>
              <w:rPr/>
              <w:t xml:space="preserve">208,493.58</w:t>
            </w:r>
          </w:p>
        </w:tc>
        <w:tc>
          <w:tcPr>
            <w:shd w:fill="F3F6F8"/>
            <w:tcMar>
              <w:top w:w="90" w:type="dxa"/>
              <w:left w:w="100" w:type="dxa"/>
              <w:bottom w:w="90" w:type="dxa"/>
              <w:right w:w="100" w:type="dxa"/>
            </w:tcMar>
            <w:vAlign w:val="center"/>
          </w:tcPr>
          <w:p>
            <w:r>
              <w:rPr/>
              <w:t xml:space="preserve">3.98 days</w:t>
            </w:r>
          </w:p>
        </w:tc>
        <w:tc>
          <w:tcPr>
            <w:shd w:fill="F3F6F8"/>
            <w:tcMar>
              <w:top w:w="90" w:type="dxa"/>
              <w:left w:w="100" w:type="dxa"/>
              <w:bottom w:w="90" w:type="dxa"/>
              <w:right w:w="100" w:type="dxa"/>
            </w:tcMar>
            <w:vAlign w:val="center"/>
          </w:tcPr>
          <w:p>
            <w:r>
              <w:rPr/>
              <w:t xml:space="preserve">5.36%</w:t>
            </w:r>
          </w:p>
        </w:tc>
      </w:tr>
      <w:tr>
        <w:tc>
          <w:tcPr>
            <w:shd w:fill="FFFFFF"/>
            <w:tcMar>
              <w:top w:w="90" w:type="dxa"/>
              <w:left w:w="100" w:type="dxa"/>
              <w:bottom w:w="90" w:type="dxa"/>
              <w:right w:w="100" w:type="dxa"/>
            </w:tcMar>
            <w:vAlign w:val="center"/>
          </w:tcPr>
          <w:p>
            <w:r>
              <w:rPr/>
              <w:t xml:space="preserve">West</w:t>
            </w:r>
          </w:p>
        </w:tc>
        <w:tc>
          <w:tcPr>
            <w:shd w:fill="FFFFFF"/>
            <w:tcMar>
              <w:top w:w="90" w:type="dxa"/>
              <w:left w:w="100" w:type="dxa"/>
              <w:bottom w:w="90" w:type="dxa"/>
              <w:right w:w="100" w:type="dxa"/>
            </w:tcMar>
            <w:vAlign w:val="center"/>
          </w:tcPr>
          <w:p>
            <w:r>
              <w:rPr/>
              <w:t xml:space="preserve">1,186,350.50</w:t>
            </w:r>
          </w:p>
        </w:tc>
        <w:tc>
          <w:tcPr>
            <w:shd w:fill="FFFFFF"/>
            <w:tcMar>
              <w:top w:w="90" w:type="dxa"/>
              <w:left w:w="100" w:type="dxa"/>
              <w:bottom w:w="90" w:type="dxa"/>
              <w:right w:w="100" w:type="dxa"/>
            </w:tcMar>
            <w:vAlign w:val="center"/>
          </w:tcPr>
          <w:p>
            <w:r>
              <w:rPr/>
              <w:t xml:space="preserve">197,385.73</w:t>
            </w:r>
          </w:p>
        </w:tc>
        <w:tc>
          <w:tcPr>
            <w:shd w:fill="FFFFFF"/>
            <w:tcMar>
              <w:top w:w="90" w:type="dxa"/>
              <w:left w:w="100" w:type="dxa"/>
              <w:bottom w:w="90" w:type="dxa"/>
              <w:right w:w="100" w:type="dxa"/>
            </w:tcMar>
            <w:vAlign w:val="center"/>
          </w:tcPr>
          <w:p>
            <w:r>
              <w:rPr/>
              <w:t xml:space="preserve">5.00 days</w:t>
            </w:r>
          </w:p>
        </w:tc>
        <w:tc>
          <w:tcPr>
            <w:shd w:fill="FFFFFF"/>
            <w:tcMar>
              <w:top w:w="90" w:type="dxa"/>
              <w:left w:w="100" w:type="dxa"/>
              <w:bottom w:w="90" w:type="dxa"/>
              <w:right w:w="100" w:type="dxa"/>
            </w:tcMar>
            <w:vAlign w:val="center"/>
          </w:tcPr>
          <w:p>
            <w:r>
              <w:rPr/>
              <w:t xml:space="preserve">5.45%</w:t>
            </w:r>
          </w:p>
        </w:tc>
      </w:tr>
      <w:tr>
        <w:tc>
          <w:tcPr>
            <w:shd w:fill="F3F6F8"/>
            <w:tcMar>
              <w:top w:w="90" w:type="dxa"/>
              <w:left w:w="100" w:type="dxa"/>
              <w:bottom w:w="90" w:type="dxa"/>
              <w:right w:w="100" w:type="dxa"/>
            </w:tcMar>
            <w:vAlign w:val="center"/>
          </w:tcPr>
          <w:p>
            <w:r>
              <w:rPr/>
              <w:t xml:space="preserve">East</w:t>
            </w:r>
          </w:p>
        </w:tc>
        <w:tc>
          <w:tcPr>
            <w:shd w:fill="F3F6F8"/>
            <w:tcMar>
              <w:top w:w="90" w:type="dxa"/>
              <w:left w:w="100" w:type="dxa"/>
              <w:bottom w:w="90" w:type="dxa"/>
              <w:right w:w="100" w:type="dxa"/>
            </w:tcMar>
            <w:vAlign w:val="center"/>
          </w:tcPr>
          <w:p>
            <w:r>
              <w:rPr/>
              <w:t xml:space="preserve">1,176,334.75</w:t>
            </w:r>
          </w:p>
        </w:tc>
        <w:tc>
          <w:tcPr>
            <w:shd w:fill="F3F6F8"/>
            <w:tcMar>
              <w:top w:w="90" w:type="dxa"/>
              <w:left w:w="100" w:type="dxa"/>
              <w:bottom w:w="90" w:type="dxa"/>
              <w:right w:w="100" w:type="dxa"/>
            </w:tcMar>
            <w:vAlign w:val="center"/>
          </w:tcPr>
          <w:p>
            <w:r>
              <w:rPr/>
              <w:t xml:space="preserve">195,035.24</w:t>
            </w:r>
          </w:p>
        </w:tc>
        <w:tc>
          <w:tcPr>
            <w:shd w:fill="F3F6F8"/>
            <w:tcMar>
              <w:top w:w="90" w:type="dxa"/>
              <w:left w:w="100" w:type="dxa"/>
              <w:bottom w:w="90" w:type="dxa"/>
              <w:right w:w="100" w:type="dxa"/>
            </w:tcMar>
            <w:vAlign w:val="center"/>
          </w:tcPr>
          <w:p>
            <w:r>
              <w:rPr/>
              <w:t xml:space="preserve">5.99 days</w:t>
            </w:r>
          </w:p>
        </w:tc>
        <w:tc>
          <w:tcPr>
            <w:shd w:fill="F3F6F8"/>
            <w:tcMar>
              <w:top w:w="90" w:type="dxa"/>
              <w:left w:w="100" w:type="dxa"/>
              <w:bottom w:w="90" w:type="dxa"/>
              <w:right w:w="100" w:type="dxa"/>
            </w:tcMar>
            <w:vAlign w:val="center"/>
          </w:tcPr>
          <w:p>
            <w:r>
              <w:rPr/>
              <w:t xml:space="preserve">5.91%</w:t>
            </w:r>
          </w:p>
        </w:tc>
      </w:tr>
      <w:tr>
        <w:tc>
          <w:tcPr>
            <w:shd w:fill="FFFFFF"/>
            <w:tcMar>
              <w:top w:w="90" w:type="dxa"/>
              <w:left w:w="100" w:type="dxa"/>
              <w:bottom w:w="90" w:type="dxa"/>
              <w:right w:w="100" w:type="dxa"/>
            </w:tcMar>
            <w:vAlign w:val="center"/>
          </w:tcPr>
          <w:p>
            <w:r>
              <w:rPr/>
              <w:t xml:space="preserve">Central</w:t>
            </w:r>
          </w:p>
        </w:tc>
        <w:tc>
          <w:tcPr>
            <w:shd w:fill="FFFFFF"/>
            <w:tcMar>
              <w:top w:w="90" w:type="dxa"/>
              <w:left w:w="100" w:type="dxa"/>
              <w:bottom w:w="90" w:type="dxa"/>
              <w:right w:w="100" w:type="dxa"/>
            </w:tcMar>
            <w:vAlign w:val="center"/>
          </w:tcPr>
          <w:p>
            <w:r>
              <w:rPr/>
              <w:t xml:space="preserve">940,503.38</w:t>
            </w:r>
          </w:p>
        </w:tc>
        <w:tc>
          <w:tcPr>
            <w:shd w:fill="FFFFFF"/>
            <w:tcMar>
              <w:top w:w="90" w:type="dxa"/>
              <w:left w:w="100" w:type="dxa"/>
              <w:bottom w:w="90" w:type="dxa"/>
              <w:right w:w="100" w:type="dxa"/>
            </w:tcMar>
            <w:vAlign w:val="center"/>
          </w:tcPr>
          <w:p>
            <w:r>
              <w:rPr/>
              <w:t xml:space="preserve">158,023.69</w:t>
            </w:r>
          </w:p>
        </w:tc>
        <w:tc>
          <w:tcPr>
            <w:shd w:fill="FFFFFF"/>
            <w:tcMar>
              <w:top w:w="90" w:type="dxa"/>
              <w:left w:w="100" w:type="dxa"/>
              <w:bottom w:w="90" w:type="dxa"/>
              <w:right w:w="100" w:type="dxa"/>
            </w:tcMar>
            <w:vAlign w:val="center"/>
          </w:tcPr>
          <w:p>
            <w:r>
              <w:rPr/>
              <w:t xml:space="preserve">4.01 days</w:t>
            </w:r>
          </w:p>
        </w:tc>
        <w:tc>
          <w:tcPr>
            <w:shd w:fill="FFFFFF"/>
            <w:tcMar>
              <w:top w:w="90" w:type="dxa"/>
              <w:left w:w="100" w:type="dxa"/>
              <w:bottom w:w="90" w:type="dxa"/>
              <w:right w:w="100" w:type="dxa"/>
            </w:tcMar>
            <w:vAlign w:val="center"/>
          </w:tcPr>
          <w:p>
            <w:r>
              <w:rPr/>
              <w:t xml:space="preserve">5.10%</w:t>
            </w:r>
          </w:p>
        </w:tc>
      </w:tr>
    </w:tbl>
    <w:p>
      <w:pPr>
        <w:pStyle w:val="Heading1"/>
      </w:pPr>
      <w:r>
        <w:t xml:space="preserve">Analysis limitations</w:t>
      </w:r>
    </w:p>
    <w:p>
      <w:r>
        <w:t xml:space="preserve">The dataset does not include return reasons, product cost, payment-processing fees, or the final financial treatment of returned orders. Therefore, it cannot establish the exact cause of returns or calculate net profit after returns. The profit_margin field was treated as a monetary amount because its values are not formatted as percentages.</w:t>
      </w:r>
    </w:p>
    <w:sectPr>
      <w:pgSz w:w="12240" w:h="15840"/>
      <w:pgMar w:top="900" w:right="900" w:bottom="900" w:left="900"/>
    </w:sectPr>
  </w:body>
</w:document>
</file>

<file path=word/styles.xml><?xml version="1.0" encoding="utf-8"?>
<w:styles xmlns:w="http://schemas.openxmlformats.org/wordprocessingml/2006/main">
  <w:style w:type="paragraph" w:default="1" w:styleId="Normal">
    <w:name w:val="Normal"/>
    <w:pPr>
      <w:spacing w:after="120" w:line="276" w:lineRule="auto"/>
    </w:pPr>
    <w:rPr>
      <w:rFonts w:ascii="Aptos" w:hAnsi="Aptos"/>
      <w:sz w:val="22"/>
    </w:rPr>
  </w:style>
  <w:style w:type="paragraph" w:styleId="Title">
    <w:name w:val="Title"/>
    <w:pPr>
      <w:spacing w:after="180"/>
    </w:pPr>
    <w:rPr>
      <w:b/>
      <w:color w:val="000000"/>
      <w:sz w:val="34"/>
    </w:rPr>
  </w:style>
  <w:style w:type="paragraph" w:styleId="Subtitle">
    <w:name w:val="Subtitle"/>
    <w:pPr>
      <w:spacing w:after="280"/>
    </w:pPr>
    <w:rPr>
      <w:color w:val="000000"/>
      <w:sz w:val="22"/>
    </w:rPr>
  </w:style>
  <w:style w:type="paragraph" w:styleId="Heading1">
    <w:name w:val="heading 1"/>
    <w:pPr>
      <w:spacing w:before="260" w:after="120"/>
    </w:pPr>
    <w:rPr>
      <w:b/>
      <w:color w:val="000000"/>
      <w:sz w:val="28"/>
    </w:rPr>
  </w:style>
  <w:style w:type="paragraph" w:styleId="Heading2">
    <w:name w:val="heading 2"/>
    <w:pPr>
      <w:spacing w:before="200" w:after="80"/>
    </w:pPr>
    <w:rPr>
      <w:b/>
      <w:color w:val="000000"/>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