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3864"/>
          <w:sz w:val="40"/>
          <w:szCs w:val="40"/>
        </w:rPr>
        <w:t xml:space="preserve">OLSR Black-Hole Defense Detection — Feature Normalization Reference</w:t>
      </w:r>
    </w:p>
    <w:p>
      <w:pPr>
        <w:spacing w:after="120"/>
      </w:pPr>
      <w:r>
        <w:rPr>
          <w:rFonts w:ascii="Calibri" w:cs="Calibri" w:eastAsia="Calibri" w:hAnsi="Calibri"/>
          <w:sz w:val="21"/>
          <w:szCs w:val="21"/>
        </w:rPr>
        <w:t xml:space="preserve">Feature schema of olsr_window_features.h (FeatureCollector, NS-3). Core groups A–K (95 features, FeatureMode::Core) plus the strict_observable_v2 parity group L (33 features). For each feature: what it measures, whether it must be normalized before training ML models intended to generalize across networks with different node counts, topology sizes, window lengths, and traffic configurations, and the recommended normalization.</w:t>
      </w:r>
    </w:p>
    <w:p>
      <w:pPr>
        <w:spacing w:after="120"/>
      </w:pPr>
      <w:r>
        <w:rPr>
          <w:rFonts w:ascii="Calibri" w:cs="Calibri" w:eastAsia="Calibri" w:hAnsi="Calibri"/>
          <w:i/>
          <w:iCs/>
          <w:sz w:val="21"/>
          <w:szCs w:val="21"/>
        </w:rPr>
        <w:t xml:space="preserve">Guiding principle: a feature needs normalization if its value depends on simulation constants (number of nodes N, topology extent/diameter, window duration, offered load, packet size, TC interval) rather than only on the behavior being classified. Ratios, fractions, and standardized moments (skewness, kurtosis, Gini, Hurst, clustering coefficient, density) are scale-free and need no normalization.</w:t>
      </w:r>
    </w:p>
    <w:p>
      <w:pPr>
        <w:spacing w:after="120"/>
      </w:pPr>
      <w:r>
        <w:rPr>
          <w:rFonts w:ascii="Calibri" w:cs="Calibri" w:eastAsia="Calibri" w:hAnsi="Calibri"/>
          <w:i/>
          <w:iCs/>
          <w:color w:val="595959"/>
          <w:sz w:val="20"/>
          <w:szCs w:val="20"/>
        </w:rPr>
        <w:t xml:space="preserve">Legend — Yes: must be normalized (orange). No: already scale-free (green). Partial: dimensionless but sensitive to configuration ratios (yellow).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100"/>
        <w:gridCol w:w="4600"/>
        <w:gridCol w:w="1180"/>
        <w:gridCol w:w="4800"/>
      </w:tblGrid>
      <w:tr>
        <w:trPr>
          <w:tblHeader/>
        </w:trPr>
        <w:tc>
          <w:tcPr>
            <w:tcW w:type="dxa" w:w="3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 Name</w:t>
            </w:r>
          </w:p>
        </w:tc>
        <w:tc>
          <w:tcPr>
            <w:tcW w:type="dxa" w:w="4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What It Measures</w:t>
            </w:r>
          </w:p>
        </w:tc>
        <w:tc>
          <w:tcPr>
            <w:tcW w:type="dxa" w:w="11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Normalize?</w:t>
            </w:r>
          </w:p>
        </w:tc>
        <w:tc>
          <w:tcPr>
            <w:tcW w:type="dxa" w:w="4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Why / How</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A. Control Traffic Volume (11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TcPacketRate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TC (Topology Control) messages observed per second in the window.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linearly with the number of nodes (each MPR originates TCs). Normalize by node count (TCs/sec/node) to generalize across network sizes.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MidPacketRate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MID (Multiple Interface Declaration) messages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number of multi-interface nodes. Normalize by node count.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HnaPacketRate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HNA (Host and Network Association) messages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number of gateway nodes. Normalize by node count.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TcBytesPerSecond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TC bytes on the medium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both node count and node degree (TC size grows with advertised neighbors). Normalize by node count, or by node count × average degree.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MidBytesPerSecond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MID bytes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node count and interface configuration. Normalize by node count.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HnaBytesPerSecond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HNA bytes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number of gateways. Normalize by node count.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DataPacketRate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data packets sent on-air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Determined by the traffic-generation configuration (number of flows × sending rate). Normalize by number of flows and/or configured offered load.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DataBytesPerSecond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data bytes sent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dependency: driven by offered-load constants. Normalize by configured offered load (or per flow).</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PerNodeTcRateStd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per-node TC rates across all TC senders.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Its magnitude scales with the mean TC rate, which depends on the TC interval constant. Divide by the mean (coefficient of variation) to make it scale-free.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PerNodeTcBytesStd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per-node TC byte rates.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reason: convert to coefficient of variation (std/mean) so it is invariant to TC interval and message size.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PerNodeTcBytesGini</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Gini coefficient of TC byte volume across senders (inequality of control-traffic contribution).</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Gini is by construction dimensionless and bounded in [0,1]; it is invariant to scaling the byte counts and to network size.</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B. TC Structure (14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TcMessageSizeMean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serialized size (bytes) of TC messages.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TC size = header + 4 bytes per advertised neighbor, so it grows with node degree, i.e., with network density. Normalize by average degree or by (N−1).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TcMessageSizeStd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TC message sizes.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same degree-dependent size; use std/mean (CV) or divide by (N−1).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TcMessageSizeP95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95th percentile of TC message size.</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degree/density dependence as the mean.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TcMessageSizeMax</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Maximum TC message size in the window.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Bounded by the max degree, which grows with density/size. Normalize by (N−1) or by the mean size.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AdvertisedLinksPerTcMean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number of neighbor addresses advertised per TC message.</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Directly equals average MPR-selector-set size, which grows with node density. Normalize by (N−1) to obtain a density-like fraction.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AdvertisedLinksPerTcStd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advertised links per TC.</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mean; use CV or divide by (N−1).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AdvertisedLinksPerTcP95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95th percentile of advertised links per TC.</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density dependence.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AdvertisedLinksPerTcMax</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Maximum advertised links in a single TC.</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Bounded by max degree; normalize by (N−1).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TcAnsnIncrementMean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signed increment of the ANSN sequence number between consecutive TCs of the same originator.</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Protocol-defined behavior: increments are ~0–1 per topology change regardless of network size. It is a per-message ratio, already scale-free.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TcAnsnSkipCount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Count of ANSN jumps (&gt;1) or regressions (&lt;0) in the window.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raw count that grows with the number of TCs observed (i.e., with node count and window length). Normalize per TC message (skips ÷ TC count).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NumDistinctTcSenderNodesPerWindow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distinct nodes that originated TCs in the window.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Approximately equals the number of MPRs, which scales with N. Normalize by N (fraction of nodes acting as TC senders).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TcMessageContentEntropy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Shannon entropy over distinct TC content keys (sorted advertised-address sets).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Entropy grows like log2(number of distinct contents), which increases with N. Normalize by log2(TC count) or log2(distinct keys) to get relative entropy in [0,1].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TcVtimeMean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validity-time (Vtime) field of TC messages.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Vtime is a protocol constant (TOP_HOLD_TIME) independent of topology size. Deviations from the constant are exactly the signal of interest.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TcVtimeStd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TC Vtime values.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near zero for compliant nodes regardless of network parameters; nonzero values indicate anomalous/defensive behavior.</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C. Address Sets (5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NumDistinctAddressesInTcAdvertisements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distinct addresses appearing inside TC payloads.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Approaches N in a connected network, so it directly encodes network size. Normalize by N (coverage fraction).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NumDistinctTcSenderAddresses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distinct TC-originator addresses.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MPR population, hence with N. Normalize by 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NumPhantomAddresses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Addresses advertised in TCs that were never seen sending TC or data (possible fabrication).</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raw count whose ceiling grows with N. Normalize by the number of advertised addresses (phantom fraction).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NumAsymmetricAdvertisements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Directed advertised edges (A→B) with no reverse edge (B→A) observed.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Grows with the total number of directed edges, i.e., with N × degree. Normalize by the total directed-edge count (asymmetry fraction).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NumEphemeralAddresses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Addresses whose observed lifetime is shorter than half the window.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raw count bounded by N. Normalize by the number of observed addresses.</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D. MPR Selection (4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MprSelectorCountPerTcMean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MPR-selector set size inferred from TC advertised-address sets.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Selector-set size scales with node degree/density. Normalize by (N−1) or by mean observed degree.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MprSelectorCountPerTcStd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MPR-selector set sizes.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mean; use CV or normalize by (N−1).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NumberOfMprChurnEvents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times a sender's advertised MPR-selector set changed between consecutive TCs.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raw count that grows with node count, TC rate and window length. Normalize per sender per second (or per TC).</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NumDistinctMprSetsObserved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distinct MPR-selector sets summed across senders.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number of senders (≈ N) and window length. Normalize by the number of TC senders.</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E. Paths and Forwarding (5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ObservedHopCountMean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hop count of delivered data packets (derived from TTL at the last forwarder).</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Path length scales with topology extent (≈ diameter, ~√N for planar layouts). Normalize by the network diameter or by an expected-path-length baseline.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ObservedHopCountStd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observed hop counts.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mean path length; use CV or normalize by diameter.</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ObservedHopCountMax</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Maximum observed hop count.</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Bounded by the diameter, which grows with topology size. Normalize by diameter.</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NumPathChangesPerFlow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number of first-hop-MAC changes per source (route-change events).</w:t>
            </w:r>
          </w:p>
        </w:tc>
        <w:tc>
          <w:tcPr>
            <w:tcW w:type="dxa" w:w="118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Partial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Already averaged per flow (size-invariant), but the count of change events still grows with window duration. Normalize by window length (changes/flow/second).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NumDistinctNextHopsPerSource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number of distinct first-hop MACs used per source.</w:t>
            </w:r>
          </w:p>
        </w:tc>
        <w:tc>
          <w:tcPr>
            <w:tcW w:type="dxa" w:w="118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Partial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Per-source averaging removes the N dependence, but the value is bounded by node degree, which depends on density. Optionally normalize by mean degree.</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F. MAC Layer (3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Layer2RetransmissionRate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Fraction of on-air data frames carrying the retry bit (retransmissions ÷ data frames).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Already a ratio in [0,1]; dimensionless and comparable across network sizes and loads.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ChannelBusyTimeFraction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Fraction of the window during which the channel is busy (union of NAV intervals ÷ window duration).</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Already a fraction in [0,1] normalized by window duration.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InterFrameSpacingMean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time gap between consecutive observed MAC frames.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Inversely proportional to total frame rate, which depends on node count and traffic load constants. Normalize by expected per-frame spacing (or multiply by total frame rate) to remove load dependence.</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G. Performance (6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PacketsDeliveredCount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data packets delivered to destinations in the window.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raw count scaling with window length, flow count and sending rate. Normalize per flow per second, or replace with the delivery ratio (delivered/sent).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PacketsSentCount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data packets sent by sources in the window.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Directly determined by the traffic configuration. Normalize per flow per second.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EndToEndLatencyMean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end-to-end delay of delivered packets (seconds).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Delay grows with path length, hence with topology size. Normalize by mean hop count (per-hop delay) or by network diameter.</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EndToEndLatencyStd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end-to-end delay.</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mean delay; use CV or per-hop normalization.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JitterMean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absolute difference between consecutive per-flow delays.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delay magnitudes, which are topology-size dependent. Normalize by mean latency or per hop.</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ThroughputBitsPerSecond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Delivered bytes × 8 ÷ window duration.</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Determined by offered load configuration. Normalize by offered load (yielding a delivery-efficiency ratio) or per flow.</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H. Time and Periodicity (6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TcInterArrivalMean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gap between consecutive TCs of the same sender.</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Governed by the protocol constant TC_INTERVAL (≈5 s), independent of network size. (If TC_INTERVAL itself is varied across simulations, divide by the configured interval.)</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TcInterArrivalStd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per-sender TC inter-arrival times.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Jitter around a protocol constant; scale-free with respect to N. Same caveat as the mean if the interval is varied.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TcInterArrivalP95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95th percentile of per-sender TC gaps.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protocol-constant reasoning.</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TcBurstinessHurst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Hurst exponent (R/S) of the per-second control-message count series.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The Hurst exponent is a dimensionless self-similarity measure, by construction scale-invariant.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ControlMessageInterArrivalSkew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Skewness of gaps between all control messages.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Skewness is a standardized (unit-free) third moment; invariant to shifting/scaling the gaps.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ControlMessageInterArrivalKurtosis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Excess kurtosis of control-message gaps.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Standardized fourth moment; dimensionless and scale-invariant.</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I. Entropy and Statistics (5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TcSenderAddressEntropy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Shannon entropy over per-sender TC counts.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Maximum entropy is log2(number of senders), which grows with N. Divide by log2(sender count) to obtain normalized entropy in [0,1].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TcAdvertisedAddressEntropy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Shannon entropy over per-address advertisement counts.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log2(N) ceiling; normalize by log2(number of advertised addresses).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PacketSizeDistributionSkew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Skewness of the observed packet-size distribution.</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Standardized moment; dimensionless and invariant to network scale.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PacketSizeDistributionKurtosis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Excess kurtosis of packet sizes.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Standardized moment; scale-invariant.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TcPayloadByteDistributionEntropy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Byte entropy of the last octet of addresses in TC payloads.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With ~N distinct host octets, the entropy ceiling is log2(min(N,256)) bits, so the value encodes N. Normalize by log2(min(N,256)).</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J. Topology Graph (22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AdvertisedAverageDegree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degree of the graph built from advertised TC edges.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Average degree depends on node density and radio range. Normalize by (N−1) — equivalent to graph density.</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AdvertisedDegreeStd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node degrees.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mean degree; use CV (std/mean) or divide by (N−1).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AdvertisedDegreeSkew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Skewness of the degree distribution.</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Standardized moment; dimensionless.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AdvertisedDegreeKurtosis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Excess kurtosis of the degree distribution.</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Standardized moment; dimensionless.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NumberOfDegreeOneNodes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Count of leaf nodes (degree exactly 1).</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raw count bounded by N. Normalize by N (fraction of leaf nodes).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AdvertisedClusteringCoefficient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Average local clustering coefficient.</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Defined as a per-node ratio averaged over nodes; already in [0,1] and size-comparable.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NumberOfTrianglesInAdvertisedGraph</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triangle count in the advertised graph.</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Grows roughly with N × degree²; explodes with network size. Normalize by N or by the number of connected triples.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AdvertisedConnectivityComponents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connected components.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In fragmented networks this can grow up to N. Normalize by N (or use fraction of nodes in the giant component).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AdvertisedDiameter</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Longest shortest-path (hops) in the graph.</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Grows with topology extent (~√N for geometric graphs). Normalize by N, √N, or log N depending on topology model.</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AdvertisedRadius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Minimum eccentricity over nodes.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scaling as diameter; normalize the same way (or use radius/diameter ratio, which is scale-free).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AdvertisedGraphDensity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2·|E| ÷ (N·(N−1)).</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Already normalized by the maximum possible edge count; in [0,1] by construction.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BetweennessCentralityMean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unnormalized Brandes betweenness across nodes.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Raw betweenness scales with the number of node pairs, O(N²). Divide by (N−1)(N−2)/2 — the standard betweenness normalization.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BetweennessCentralityStd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betweenness values.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O(N²) scaling; apply the same (N−1)(N−2)/2 normalization.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BetweennessCentralityMax</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Maximum betweenness (most central relay).</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scaling; this is the key black-hole indicator, so normalizing it is critical for cross-size generalization.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ClosenessCentralityMean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closeness (reached nodes ÷ sum of distances).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Distances grow with topology extent, so closeness shrinks as networks grow. Multiply by mean path length or use the size-corrected Wasserman–Faust form (reach/(N−1) × reach/sumDist).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ClosenessCentralityStd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closeness values.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distance-scale dependence as the mean.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EdgePersistenceMean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time (seconds) each advertised edge remained visible within the window.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Directly bounded by window duration. Divide by window length to get a persistence fraction in [0,1].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EdgeEmergenceWithinWindowRate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New edges (present in late half only)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total edge count, hence network size. Normalize by the total number of edges (fraction emerging), keeping the per-second part if window sizes vary.</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EdgeChurnWithinWindowRate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Disappearing edges (present in early half only)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edge-count scaling; normalize by total edges.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NumberOfHexagonalCycles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Count of 6-cycles in the advertised graph.</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Cycle counts grow combinatorially with N and density. Normalize by N (or by a density-matched random-graph expectation).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NumberOfShortCycles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Total count of 3-, 4- and 5-cycles.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combinatorial explosion; normalize by N or edge count.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AdvertisedSpectralRadius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Largest eigenvalue of the adjacency matrix (power iteration).</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Bounded between average and maximum degree, both density-dependent. Normalize by (N−1) or by max degree.</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K. Defense-Detection Breadth (14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TcOriginationCountMin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Minimum, over originators, of distinct TC sequence numbers seen on-air per originator.</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Count of TCs per window ≈ window ÷ TC_INTERVAL, so it scales with window duration. Divide by window length (per-second origination rate).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TcOriginationCountMean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distinct TC sequence numbers per originator.</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window-duration scaling; normalize per second.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TcOriginationCountStd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per-originator TC origination counts.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mean; use CV or per-second normalization.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TcOriginationCountMax</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Maximum per-originator TC origination count.</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window-duration scaling.</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TcRelayerBreadthMin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Minimum, over originators, of distinct MAC transmitters relaying that originator's TCs.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Relayer breadth ≈ number of MPRs reachable, which scales with N. Normalize by N (fraction of nodes relaying).</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TcRelayerBreadthMean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distinct relayers per originator's TCs.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N scaling; normalize by 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TcRelayerBreadthStd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relayer breadth.</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the mean; CV or ÷N.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TcRelayerBreadthMax</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Maximum relayer breadth.</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N scaling.</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TcMaxHopReachMin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Minimum, over originators, of the maximum hop count reached by their TCs.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Hop reach is bounded by network diameter, which grows with topology size. Normalize by diameter (relative reach).</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TcMaxHopReachMean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maximum hop reach across originators.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diameter scaling.</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TcMaxHopReachStd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maximum hop reach.</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diameter; normalize accordingly.</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TcMaxHopReachMax</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Largest hop reach of any originator's TC.</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Bounded by diameter; normalize by diameter.</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DistinctForwardersChangingNextHop</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forwarders observed changing the L2 next-hop used for some destination (defense-induced reroutes in static topology).</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raw node count bounded by N. Normalize by N or by the number of active forwarders (fraction rerouting).</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NumDistinctNextHopsObservedNetworkwide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distinct (forwarder MAC → next-hop MAC) pairs seen network-wide.</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Grows with the number of used directed links, i.e., with N × degree. Normalize by N or by the total directed-edge count.</w:t>
            </w:r>
          </w:p>
        </w:tc>
      </w:tr>
      <w:tr>
        <w:tc>
          <w:tcPr>
            <w:tcW w:type="dxa" w:w="13680"/>
            <w:gridSpan w:val="4"/>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Calibri" w:cs="Calibri" w:eastAsia="Calibri" w:hAnsi="Calibri"/>
                <w:b/>
                <w:bCs/>
                <w:color w:val="1F3864"/>
                <w:sz w:val="20"/>
                <w:szCs w:val="20"/>
              </w:rPr>
              <w:t xml:space="preserve">L. strict_observable_v2 Parity Group (33 features)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TcMessageRate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TC messages per second (same as TcPacketRate).</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node count; normalize per node.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MidMessageRate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MID messages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node count; normalize per node.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HnaMessageRate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HNA messages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node count; normalize per node.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AverageAdvertisedLinksPerTCMessage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advertised neighbor addresses per TC.</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Grows with node density (MPR-selector set size); normalize by (N−1).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NormalizedRoutingLoad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Routing messages (TC+MID+HNA) ÷ delivered data packets.</w:t>
            </w:r>
          </w:p>
        </w:tc>
        <w:tc>
          <w:tcPr>
            <w:tcW w:type="dxa" w:w="118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Partial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Already a dimensionless ratio, but its value shifts with offered load (routing traffic is fixed while data traffic is configurable). Comparable only if offered load per node is held proportional; otherwise condition on/normalize by load.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RoutingOverheadRatio</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Routing messages ÷ (routing + data messages).</w:t>
            </w:r>
          </w:p>
        </w:tc>
        <w:tc>
          <w:tcPr>
            <w:tcW w:type="dxa" w:w="118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Partial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Bounded in [0,1], but sensitive to the ratio of node count to traffic load. Safe if load scales with N; otherwise treat with care.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RoutingOverheadBytesRatio</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Routing bytes ÷ (routing + data bytes).</w:t>
            </w:r>
          </w:p>
        </w:tc>
        <w:tc>
          <w:tcPr>
            <w:tcW w:type="dxa" w:w="118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Partial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reasoning as RoutingOverheadRatio, in bytes.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PacketDeliveryRatio</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Delivered packets ÷ sent packets.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ratio in [0,1] by construction; the canonical scale-free black-hole indicator.</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PacketLossRatio</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1 − PDR.</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Complement of a normalized ratio; already in [0,1].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AverageEndToEndDelay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end-to-end delay of delivered packets.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Grows with path length, hence topology size. Normalize by mean hop count (per-hop delay).</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AverageJitter</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delay variation between consecutive deliveries per flow.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delay magnitude; normalize by mean delay or per hop.</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Throughput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Delivered bits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Determined by offered-load constants. Normalize by offered load (efficiency ratio) or per flow.</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AverageHopCount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hop count of delivered packets.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network diameter/extent. Normalize by diameter or expected path length.</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DataPacketRate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Data packets sent per second.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Set by traffic configuration; normalize by flow count and configured rate.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RxTxPacketRatio</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Received ÷ transmitted data packets (equals PDR here).</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A ratio in [0,1]; scale-free.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FlowCount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Number of distinct (src,dst) flows observed.</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Directly set by the simulation traffic configuration and bounded by N(N−1). Normalize by node count or configured flow count.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AvgFlowDuration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flow active time (last-tx − first-tx).</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Bounded by window/application duration. Divide by window length (active fraction).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FlowDurationStd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flow durations.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time scaling; divide by window length.</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AvgFlowThroughput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per-flow throughput (bits/s).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Set by the configured per-flow sending rate. Normalize by the configured rate (achieved fraction).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AvgFlowDelay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of per-flow mean delays.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Path-length dependent; normalize per hop or by diameter.</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AvgFlowJitter</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of per-flow mean jitters.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Delay-scale dependent; normalize like delay.</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AvgFlowLossRate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per-flow loss rate.</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Per-flow ratio in [0,1]; scale-free.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FlowThroughputStd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per-flow throughputs.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configured rates; normalize by the configured rate or use CV.</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FlowDelayStd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per-flow delays.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Scales with delay magnitude; use CV or per-hop normalization.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FlowJitterStd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per-flow jitters.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delay-scale dependence.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FlowLossRateStd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Standard deviation of per-flow loss rates.</w:t>
            </w:r>
          </w:p>
        </w:tc>
        <w:tc>
          <w:tcPr>
            <w:tcW w:type="dxa" w:w="118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No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Std of values in [0,1] is itself bounded (≤0.5) and dimensionless.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AvgTxBytesPerFlow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bytes transmitted per flow.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Product of sending rate, packet size and window duration — all configuration constants. Normalize by (configured rate × window length).</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AvgRxBytesPerFlow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Estimated mean bytes received per flow (delivered pkts × mean sent size).</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configuration scaling; alternatively replace with Rx/Tx byte ratio.</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AvgTxPacketsPerFlow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packets sent per flow.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 rate × duration; normalize by window length and configured rate.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AvgRxPacketsPerFlow</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packets received per flow.</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scaling; or use the per-flow delivery ratio instead.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AvgTxPacketSize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size of transmitted data packets.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Equals the application payload constant. Normalize by the configured packet size (or drop if the constant never varies), otherwise the model memorizes the config value.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AvgRxPacketSize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size of delivered data packets.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Same payload-constant dependence.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color w:val="000000"/>
                <w:sz w:val="18"/>
                <w:szCs w:val="18"/>
              </w:rPr>
              <w:t xml:space="preserve">AverageMprCount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Mean in-degree in the directed advertised graph (directed edges ÷ advertised addresses).</w:t>
            </w:r>
          </w:p>
        </w:tc>
        <w:tc>
          <w:tcPr>
            <w:tcW w:type="dxa" w:w="1180"/>
            <w:tcBorders>
              <w:top w:val="single" w:color="BFBFBF" w:sz="4"/>
              <w:left w:val="single" w:color="BFBFBF" w:sz="4"/>
              <w:bottom w:val="single" w:color="BFBFBF" w:sz="4"/>
              <w:right w:val="single" w:color="BFBFBF" w:sz="4"/>
            </w:tcBorders>
            <w:shd w:fill="FDE9D9"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Yes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MPR count per node grows with density; normalize by (N−1) or mean degree.</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2026-07-06T17:31:24.117Z</dcterms:created>
  <dcterms:modified xsi:type="dcterms:W3CDTF">2026-07-06T17:31:24.118Z</dcterms:modified>
</cp:coreProperties>
</file>

<file path=docProps/custom.xml><?xml version="1.0" encoding="utf-8"?>
<Properties xmlns="http://schemas.openxmlformats.org/officeDocument/2006/custom-properties" xmlns:vt="http://schemas.openxmlformats.org/officeDocument/2006/docPropsVTypes"/>
</file>