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5F"/>
          <w:sz w:val="44"/>
          <w:szCs w:val="44"/>
        </w:rPr>
        <w:t xml:space="preserve">🚢 Titanic Survival Analysis</w:t>
      </w:r>
    </w:p>
    <w:p>
      <w:pPr>
        <w:spacing w:after="300"/>
        <w:jc w:val="center"/>
      </w:pPr>
      <w:r>
        <w:rPr>
          <w:i/>
          <w:iCs/>
          <w:color w:val="555555"/>
          <w:sz w:val="26"/>
          <w:szCs w:val="26"/>
        </w:rPr>
        <w:t xml:space="preserve">Project Insights Report</w:t>
      </w:r>
    </w:p>
    <w:p>
      <w:pPr>
        <w:pBdr>
          <w:bottom w:val="single" w:color="CCCCCC" w:sz="6" w:space="1"/>
        </w:pBdr>
        <w:spacing w:after="200" w:before="100"/>
      </w:pPr>
    </w:p>
    <w:p>
      <w:pPr>
        <w:pStyle w:val="Heading1"/>
        <w:spacing w:after="150" w:before="300"/>
      </w:pPr>
      <w:r>
        <w:rPr>
          <w:b/>
          <w:bCs/>
          <w:color w:val="1F4E5F"/>
          <w:sz w:val="30"/>
          <w:szCs w:val="30"/>
        </w:rPr>
        <w:t xml:space="preserve">1. Overview</w:t>
      </w:r>
    </w:p>
    <w:p>
      <w:pPr>
        <w:spacing w:after="120"/>
      </w:pPr>
      <w:r>
        <w:rPr>
          <w:sz w:val="22"/>
          <w:szCs w:val="22"/>
        </w:rPr>
        <w:t xml:space="preserve">This report summarizes the key insights extracted from the Titanic dataset after data cleaning and feature engineering. The analysis covers overall survival statistics and how survival rate varied across passenger sex, class, and family status, forming the basis of the interactive Streamlit dashboard built for this project.</w:t>
      </w:r>
    </w:p>
    <w:p>
      <w:pPr>
        <w:pStyle w:val="Heading1"/>
        <w:spacing w:after="150" w:before="300"/>
      </w:pPr>
      <w:r>
        <w:rPr>
          <w:b/>
          <w:bCs/>
          <w:color w:val="1F4E5F"/>
          <w:sz w:val="30"/>
          <w:szCs w:val="30"/>
        </w:rPr>
        <w:t xml:space="preserve">2. Known Data Issue</w:t>
      </w:r>
    </w:p>
    <w:p>
      <w:pPr>
        <w:shd w:fill="FFF3E0" w:val="clear"/>
        <w:spacing w:after="120"/>
      </w:pPr>
      <w:r>
        <w:rPr>
          <w:sz w:val="22"/>
          <w:szCs w:val="22"/>
        </w:rPr>
        <w:t xml:space="preserve">The source file used for this analysis (418 rows) is the Kaggle Titanic </w:t>
      </w:r>
      <w:r>
        <w:rPr>
          <w:i/>
          <w:iCs/>
          <w:sz w:val="22"/>
          <w:szCs w:val="22"/>
        </w:rPr>
        <w:t xml:space="preserve">test.csv</w:t>
      </w:r>
      <w:r>
        <w:rPr>
          <w:sz w:val="22"/>
          <w:szCs w:val="22"/>
        </w:rPr>
        <w:t xml:space="preserve"> file, which does not contain real survival outcomes. The </w:t>
      </w:r>
      <w:r>
        <w:rPr>
          <w:i/>
          <w:iCs/>
          <w:sz w:val="22"/>
          <w:szCs w:val="22"/>
        </w:rPr>
        <w:t xml:space="preserve">Survived</w:t>
      </w:r>
      <w:r>
        <w:rPr>
          <w:sz w:val="22"/>
          <w:szCs w:val="22"/>
        </w:rPr>
        <w:t xml:space="preserve"> column present here matches Kaggle's </w:t>
      </w:r>
      <w:r>
        <w:rPr>
          <w:i/>
          <w:iCs/>
          <w:sz w:val="22"/>
          <w:szCs w:val="22"/>
        </w:rPr>
        <w:t xml:space="preserve">gender_submission.csv</w:t>
      </w:r>
      <w:r>
        <w:rPr>
          <w:sz w:val="22"/>
          <w:szCs w:val="22"/>
        </w:rPr>
        <w:t xml:space="preserve"> baseline: a placeholder rule marking all females as survived and all males as not survived. This is the direct cause of the exact 100% / 0% split shown in the sex breakdown below.</w:t>
      </w:r>
    </w:p>
    <w:p>
      <w:pPr>
        <w:shd w:fill="FFF3E0" w:val="clear"/>
        <w:spacing w:after="200"/>
      </w:pPr>
      <w:r>
        <w:rPr>
          <w:sz w:val="22"/>
          <w:szCs w:val="22"/>
        </w:rPr>
        <w:t xml:space="preserve">Every KPI and insight below that depends on Survived reflects this placeholder rule rather than actual outcomes. Re-running this pipeline on Kaggle's </w:t>
      </w:r>
      <w:r>
        <w:rPr>
          <w:i/>
          <w:iCs/>
          <w:sz w:val="22"/>
          <w:szCs w:val="22"/>
        </w:rPr>
        <w:t xml:space="preserve">train.csv</w:t>
      </w:r>
      <w:r>
        <w:rPr>
          <w:sz w:val="22"/>
          <w:szCs w:val="22"/>
        </w:rPr>
        <w:t xml:space="preserve"> (891 rows, genuine outcomes) is required for real survival insights.</w:t>
      </w:r>
    </w:p>
    <w:p>
      <w:pPr>
        <w:pStyle w:val="Heading1"/>
        <w:spacing w:after="150" w:before="300"/>
      </w:pPr>
      <w:r>
        <w:rPr>
          <w:b/>
          <w:bCs/>
          <w:color w:val="1F4E5F"/>
          <w:sz w:val="30"/>
          <w:szCs w:val="30"/>
        </w:rPr>
        <w:t xml:space="preserve">3. Overall KPIs</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4500"/>
        <w:gridCol w:w="3000"/>
      </w:tblGrid>
      <w:tr>
        <w:tc>
          <w:tcPr>
            <w:tcW w:type="dxa" w:w="4500"/>
            <w:shd w:fill="1F4E5F" w:val="clear"/>
            <w:tcMar>
              <w:top w:type="dxa" w:w="100"/>
              <w:left w:type="dxa" w:w="120"/>
              <w:bottom w:type="dxa" w:w="100"/>
              <w:right w:type="dxa" w:w="120"/>
            </w:tcMar>
            <w:vAlign w:val="center"/>
          </w:tcPr>
          <w:p>
            <w:r>
              <w:rPr>
                <w:b/>
                <w:bCs/>
                <w:color w:val="FFFFFF"/>
                <w:sz w:val="21"/>
                <w:szCs w:val="21"/>
              </w:rPr>
              <w:t xml:space="preserve">Metric</w:t>
            </w:r>
          </w:p>
        </w:tc>
        <w:tc>
          <w:tcPr>
            <w:tcW w:type="dxa" w:w="3000"/>
            <w:shd w:fill="1F4E5F" w:val="clear"/>
            <w:tcMar>
              <w:top w:type="dxa" w:w="100"/>
              <w:left w:type="dxa" w:w="120"/>
              <w:bottom w:type="dxa" w:w="100"/>
              <w:right w:type="dxa" w:w="120"/>
            </w:tcMar>
            <w:vAlign w:val="center"/>
          </w:tcPr>
          <w:p>
            <w:r>
              <w:rPr>
                <w:b/>
                <w:bCs/>
                <w:color w:val="FFFFFF"/>
                <w:sz w:val="21"/>
                <w:szCs w:val="21"/>
              </w:rPr>
              <w:t xml:space="preserve">Value</w:t>
            </w:r>
          </w:p>
        </w:tc>
      </w:tr>
      <w:tr>
        <w:tc>
          <w:tcPr>
            <w:tcW w:type="dxa" w:w="4500"/>
            <w:shd w:fill="FFFFFF" w:val="clear"/>
            <w:tcMar>
              <w:top w:type="dxa" w:w="100"/>
              <w:left w:type="dxa" w:w="120"/>
              <w:bottom w:type="dxa" w:w="100"/>
              <w:right w:type="dxa" w:w="120"/>
            </w:tcMar>
            <w:vAlign w:val="center"/>
          </w:tcPr>
          <w:p>
            <w:r>
              <w:rPr>
                <w:b w:val="false"/>
                <w:bCs w:val="false"/>
                <w:color w:val="222222"/>
                <w:sz w:val="21"/>
                <w:szCs w:val="21"/>
              </w:rPr>
              <w:t xml:space="preserve">Total Passengers</w:t>
            </w:r>
          </w:p>
        </w:tc>
        <w:tc>
          <w:tcPr>
            <w:tcW w:type="dxa" w:w="3000"/>
            <w:shd w:fill="FFFFFF" w:val="clear"/>
            <w:tcMar>
              <w:top w:type="dxa" w:w="100"/>
              <w:left w:type="dxa" w:w="120"/>
              <w:bottom w:type="dxa" w:w="100"/>
              <w:right w:type="dxa" w:w="120"/>
            </w:tcMar>
            <w:vAlign w:val="center"/>
          </w:tcPr>
          <w:p>
            <w:r>
              <w:rPr>
                <w:b w:val="false"/>
                <w:bCs w:val="false"/>
                <w:color w:val="222222"/>
                <w:sz w:val="21"/>
                <w:szCs w:val="21"/>
              </w:rPr>
              <w:t xml:space="preserve">418</w:t>
            </w:r>
          </w:p>
        </w:tc>
      </w:tr>
      <w:tr>
        <w:tc>
          <w:tcPr>
            <w:tcW w:type="dxa" w:w="4500"/>
            <w:shd w:fill="FFFFFF" w:val="clear"/>
            <w:tcMar>
              <w:top w:type="dxa" w:w="100"/>
              <w:left w:type="dxa" w:w="120"/>
              <w:bottom w:type="dxa" w:w="100"/>
              <w:right w:type="dxa" w:w="120"/>
            </w:tcMar>
            <w:vAlign w:val="center"/>
          </w:tcPr>
          <w:p>
            <w:r>
              <w:rPr>
                <w:b w:val="false"/>
                <w:bCs w:val="false"/>
                <w:color w:val="222222"/>
                <w:sz w:val="21"/>
                <w:szCs w:val="21"/>
              </w:rPr>
              <w:t xml:space="preserve">Total Survived</w:t>
            </w:r>
          </w:p>
        </w:tc>
        <w:tc>
          <w:tcPr>
            <w:tcW w:type="dxa" w:w="3000"/>
            <w:shd w:fill="FFFFFF" w:val="clear"/>
            <w:tcMar>
              <w:top w:type="dxa" w:w="100"/>
              <w:left w:type="dxa" w:w="120"/>
              <w:bottom w:type="dxa" w:w="100"/>
              <w:right w:type="dxa" w:w="120"/>
            </w:tcMar>
            <w:vAlign w:val="center"/>
          </w:tcPr>
          <w:p>
            <w:r>
              <w:rPr>
                <w:b w:val="false"/>
                <w:bCs w:val="false"/>
                <w:color w:val="222222"/>
                <w:sz w:val="21"/>
                <w:szCs w:val="21"/>
              </w:rPr>
              <w:t xml:space="preserve">152</w:t>
            </w:r>
          </w:p>
        </w:tc>
      </w:tr>
      <w:tr>
        <w:tc>
          <w:tcPr>
            <w:tcW w:type="dxa" w:w="4500"/>
            <w:shd w:fill="FFFFFF" w:val="clear"/>
            <w:tcMar>
              <w:top w:type="dxa" w:w="100"/>
              <w:left w:type="dxa" w:w="120"/>
              <w:bottom w:type="dxa" w:w="100"/>
              <w:right w:type="dxa" w:w="120"/>
            </w:tcMar>
            <w:vAlign w:val="center"/>
          </w:tcPr>
          <w:p>
            <w:r>
              <w:rPr>
                <w:b w:val="false"/>
                <w:bCs w:val="false"/>
                <w:color w:val="222222"/>
                <w:sz w:val="21"/>
                <w:szCs w:val="21"/>
              </w:rPr>
              <w:t xml:space="preserve">Overall Survival Rate</w:t>
            </w:r>
          </w:p>
        </w:tc>
        <w:tc>
          <w:tcPr>
            <w:tcW w:type="dxa" w:w="3000"/>
            <w:shd w:fill="FFFFFF" w:val="clear"/>
            <w:tcMar>
              <w:top w:type="dxa" w:w="100"/>
              <w:left w:type="dxa" w:w="120"/>
              <w:bottom w:type="dxa" w:w="100"/>
              <w:right w:type="dxa" w:w="120"/>
            </w:tcMar>
            <w:vAlign w:val="center"/>
          </w:tcPr>
          <w:p>
            <w:r>
              <w:rPr>
                <w:b w:val="false"/>
                <w:bCs w:val="false"/>
                <w:color w:val="222222"/>
                <w:sz w:val="21"/>
                <w:szCs w:val="21"/>
              </w:rPr>
              <w:t xml:space="preserve">36.36%</w:t>
            </w:r>
          </w:p>
        </w:tc>
      </w:tr>
      <w:tr>
        <w:tc>
          <w:tcPr>
            <w:tcW w:type="dxa" w:w="4500"/>
            <w:shd w:fill="FFFFFF" w:val="clear"/>
            <w:tcMar>
              <w:top w:type="dxa" w:w="100"/>
              <w:left w:type="dxa" w:w="120"/>
              <w:bottom w:type="dxa" w:w="100"/>
              <w:right w:type="dxa" w:w="120"/>
            </w:tcMar>
            <w:vAlign w:val="center"/>
          </w:tcPr>
          <w:p>
            <w:r>
              <w:rPr>
                <w:b w:val="false"/>
                <w:bCs w:val="false"/>
                <w:color w:val="222222"/>
                <w:sz w:val="21"/>
                <w:szCs w:val="21"/>
              </w:rPr>
              <w:t xml:space="preserve">Average Fare</w:t>
            </w:r>
          </w:p>
        </w:tc>
        <w:tc>
          <w:tcPr>
            <w:tcW w:type="dxa" w:w="3000"/>
            <w:shd w:fill="FFFFFF" w:val="clear"/>
            <w:tcMar>
              <w:top w:type="dxa" w:w="100"/>
              <w:left w:type="dxa" w:w="120"/>
              <w:bottom w:type="dxa" w:w="100"/>
              <w:right w:type="dxa" w:w="120"/>
            </w:tcMar>
            <w:vAlign w:val="center"/>
          </w:tcPr>
          <w:p>
            <w:r>
              <w:rPr>
                <w:b w:val="false"/>
                <w:bCs w:val="false"/>
                <w:color w:val="222222"/>
                <w:sz w:val="21"/>
                <w:szCs w:val="21"/>
              </w:rPr>
              <w:t xml:space="preserve">$35.63</w:t>
            </w:r>
          </w:p>
        </w:tc>
      </w:tr>
      <w:tr>
        <w:tc>
          <w:tcPr>
            <w:tcW w:type="dxa" w:w="4500"/>
            <w:shd w:fill="FFFFFF" w:val="clear"/>
            <w:tcMar>
              <w:top w:type="dxa" w:w="100"/>
              <w:left w:type="dxa" w:w="120"/>
              <w:bottom w:type="dxa" w:w="100"/>
              <w:right w:type="dxa" w:w="120"/>
            </w:tcMar>
            <w:vAlign w:val="center"/>
          </w:tcPr>
          <w:p>
            <w:r>
              <w:rPr>
                <w:b w:val="false"/>
                <w:bCs w:val="false"/>
                <w:color w:val="222222"/>
                <w:sz w:val="21"/>
                <w:szCs w:val="21"/>
              </w:rPr>
              <w:t xml:space="preserve">Average Age</w:t>
            </w:r>
          </w:p>
        </w:tc>
        <w:tc>
          <w:tcPr>
            <w:tcW w:type="dxa" w:w="3000"/>
            <w:shd w:fill="FFFFFF" w:val="clear"/>
            <w:tcMar>
              <w:top w:type="dxa" w:w="100"/>
              <w:left w:type="dxa" w:w="120"/>
              <w:bottom w:type="dxa" w:w="100"/>
              <w:right w:type="dxa" w:w="120"/>
            </w:tcMar>
            <w:vAlign w:val="center"/>
          </w:tcPr>
          <w:p>
            <w:r>
              <w:rPr>
                <w:b w:val="false"/>
                <w:bCs w:val="false"/>
                <w:color w:val="222222"/>
                <w:sz w:val="21"/>
                <w:szCs w:val="21"/>
              </w:rPr>
              <w:t xml:space="preserve">29.7 years</w:t>
            </w:r>
          </w:p>
        </w:tc>
      </w:tr>
    </w:tbl>
    <w:p>
      <w:pPr>
        <w:spacing w:after="200"/>
      </w:pPr>
    </w:p>
    <w:p>
      <w:pPr>
        <w:pStyle w:val="Heading1"/>
        <w:spacing w:after="150" w:before="300"/>
      </w:pPr>
      <w:r>
        <w:rPr>
          <w:b/>
          <w:bCs/>
          <w:color w:val="1F4E5F"/>
          <w:sz w:val="30"/>
          <w:szCs w:val="30"/>
        </w:rPr>
        <w:t xml:space="preserve">4. Survival Breakdown by Category</w:t>
      </w:r>
    </w:p>
    <w:p>
      <w:pPr>
        <w:pStyle w:val="Heading2"/>
        <w:spacing w:after="100" w:before="240"/>
      </w:pPr>
      <w:r>
        <w:rPr>
          <w:b/>
          <w:bCs/>
          <w:color w:val="1F4E5F"/>
          <w:sz w:val="24"/>
          <w:szCs w:val="24"/>
        </w:rPr>
        <w:t xml:space="preserve">4.1 By Sex</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500"/>
      </w:tblGrid>
      <w:tr>
        <w:tc>
          <w:tcPr>
            <w:tcW w:type="dxa" w:w="3000"/>
            <w:shd w:fill="1F4E5F" w:val="clear"/>
            <w:tcMar>
              <w:top w:type="dxa" w:w="100"/>
              <w:left w:type="dxa" w:w="120"/>
              <w:bottom w:type="dxa" w:w="100"/>
              <w:right w:type="dxa" w:w="120"/>
            </w:tcMar>
            <w:vAlign w:val="center"/>
          </w:tcPr>
          <w:p>
            <w:r>
              <w:rPr>
                <w:b/>
                <w:bCs/>
                <w:color w:val="FFFFFF"/>
                <w:sz w:val="21"/>
                <w:szCs w:val="21"/>
              </w:rPr>
              <w:t xml:space="preserve">Sex</w:t>
            </w:r>
          </w:p>
        </w:tc>
        <w:tc>
          <w:tcPr>
            <w:tcW w:type="dxa" w:w="2500"/>
            <w:shd w:fill="1F4E5F" w:val="clear"/>
            <w:tcMar>
              <w:top w:type="dxa" w:w="100"/>
              <w:left w:type="dxa" w:w="120"/>
              <w:bottom w:type="dxa" w:w="100"/>
              <w:right w:type="dxa" w:w="120"/>
            </w:tcMar>
            <w:vAlign w:val="center"/>
          </w:tcPr>
          <w:p>
            <w:r>
              <w:rPr>
                <w:b/>
                <w:bCs/>
                <w:color w:val="FFFFFF"/>
                <w:sz w:val="21"/>
                <w:szCs w:val="21"/>
              </w:rPr>
              <w:t xml:space="preserve">Count</w:t>
            </w:r>
          </w:p>
        </w:tc>
        <w:tc>
          <w:tcPr>
            <w:tcW w:type="dxa" w:w="2500"/>
            <w:shd w:fill="1F4E5F" w:val="clear"/>
            <w:tcMar>
              <w:top w:type="dxa" w:w="100"/>
              <w:left w:type="dxa" w:w="120"/>
              <w:bottom w:type="dxa" w:w="100"/>
              <w:right w:type="dxa" w:w="120"/>
            </w:tcMar>
            <w:vAlign w:val="center"/>
          </w:tcPr>
          <w:p>
            <w:r>
              <w:rPr>
                <w:b/>
                <w:bCs/>
                <w:color w:val="FFFFFF"/>
                <w:sz w:val="21"/>
                <w:szCs w:val="21"/>
              </w:rPr>
              <w:t xml:space="preserve">Survival Rate</w:t>
            </w:r>
          </w:p>
        </w:tc>
      </w:tr>
      <w:tr>
        <w:tc>
          <w:tcPr>
            <w:tcW w:type="dxa" w:w="3000"/>
            <w:shd w:fill="FFFFFF" w:val="clear"/>
            <w:tcMar>
              <w:top w:type="dxa" w:w="100"/>
              <w:left w:type="dxa" w:w="120"/>
              <w:bottom w:type="dxa" w:w="100"/>
              <w:right w:type="dxa" w:w="120"/>
            </w:tcMar>
            <w:vAlign w:val="center"/>
          </w:tcPr>
          <w:p>
            <w:r>
              <w:rPr>
                <w:b w:val="false"/>
                <w:bCs w:val="false"/>
                <w:color w:val="222222"/>
                <w:sz w:val="21"/>
                <w:szCs w:val="21"/>
              </w:rPr>
              <w:t xml:space="preserve">Female</w:t>
            </w:r>
          </w:p>
        </w:tc>
        <w:tc>
          <w:tcPr>
            <w:tcW w:type="dxa" w:w="2500"/>
            <w:shd w:fill="FFFFFF" w:val="clear"/>
            <w:tcMar>
              <w:top w:type="dxa" w:w="100"/>
              <w:left w:type="dxa" w:w="120"/>
              <w:bottom w:type="dxa" w:w="100"/>
              <w:right w:type="dxa" w:w="120"/>
            </w:tcMar>
            <w:vAlign w:val="center"/>
          </w:tcPr>
          <w:p>
            <w:r>
              <w:rPr>
                <w:b w:val="false"/>
                <w:bCs w:val="false"/>
                <w:color w:val="222222"/>
                <w:sz w:val="21"/>
                <w:szCs w:val="21"/>
              </w:rPr>
              <w:t xml:space="preserve">152</w:t>
            </w:r>
          </w:p>
        </w:tc>
        <w:tc>
          <w:tcPr>
            <w:tcW w:type="dxa" w:w="2500"/>
            <w:shd w:fill="FFFFFF" w:val="clear"/>
            <w:tcMar>
              <w:top w:type="dxa" w:w="100"/>
              <w:left w:type="dxa" w:w="120"/>
              <w:bottom w:type="dxa" w:w="100"/>
              <w:right w:type="dxa" w:w="120"/>
            </w:tcMar>
            <w:vAlign w:val="center"/>
          </w:tcPr>
          <w:p>
            <w:r>
              <w:rPr>
                <w:b w:val="false"/>
                <w:bCs w:val="false"/>
                <w:color w:val="222222"/>
                <w:sz w:val="21"/>
                <w:szCs w:val="21"/>
              </w:rPr>
              <w:t xml:space="preserve">100.0%</w:t>
            </w:r>
          </w:p>
        </w:tc>
      </w:tr>
      <w:tr>
        <w:tc>
          <w:tcPr>
            <w:tcW w:type="dxa" w:w="3000"/>
            <w:shd w:fill="FFFFFF" w:val="clear"/>
            <w:tcMar>
              <w:top w:type="dxa" w:w="100"/>
              <w:left w:type="dxa" w:w="120"/>
              <w:bottom w:type="dxa" w:w="100"/>
              <w:right w:type="dxa" w:w="120"/>
            </w:tcMar>
            <w:vAlign w:val="center"/>
          </w:tcPr>
          <w:p>
            <w:r>
              <w:rPr>
                <w:b w:val="false"/>
                <w:bCs w:val="false"/>
                <w:color w:val="222222"/>
                <w:sz w:val="21"/>
                <w:szCs w:val="21"/>
              </w:rPr>
              <w:t xml:space="preserve">Male</w:t>
            </w:r>
          </w:p>
        </w:tc>
        <w:tc>
          <w:tcPr>
            <w:tcW w:type="dxa" w:w="2500"/>
            <w:shd w:fill="FFFFFF" w:val="clear"/>
            <w:tcMar>
              <w:top w:type="dxa" w:w="100"/>
              <w:left w:type="dxa" w:w="120"/>
              <w:bottom w:type="dxa" w:w="100"/>
              <w:right w:type="dxa" w:w="120"/>
            </w:tcMar>
            <w:vAlign w:val="center"/>
          </w:tcPr>
          <w:p>
            <w:r>
              <w:rPr>
                <w:b w:val="false"/>
                <w:bCs w:val="false"/>
                <w:color w:val="222222"/>
                <w:sz w:val="21"/>
                <w:szCs w:val="21"/>
              </w:rPr>
              <w:t xml:space="preserve">266</w:t>
            </w:r>
          </w:p>
        </w:tc>
        <w:tc>
          <w:tcPr>
            <w:tcW w:type="dxa" w:w="2500"/>
            <w:shd w:fill="FFFFFF" w:val="clear"/>
            <w:tcMar>
              <w:top w:type="dxa" w:w="100"/>
              <w:left w:type="dxa" w:w="120"/>
              <w:bottom w:type="dxa" w:w="100"/>
              <w:right w:type="dxa" w:w="120"/>
            </w:tcMar>
            <w:vAlign w:val="center"/>
          </w:tcPr>
          <w:p>
            <w:r>
              <w:rPr>
                <w:b w:val="false"/>
                <w:bCs w:val="false"/>
                <w:color w:val="222222"/>
                <w:sz w:val="21"/>
                <w:szCs w:val="21"/>
              </w:rPr>
              <w:t xml:space="preserve">0.0%</w:t>
            </w:r>
          </w:p>
        </w:tc>
      </w:tr>
    </w:tbl>
    <w:p>
      <w:pPr>
        <w:spacing w:after="100"/>
      </w:pPr>
      <w:r>
        <w:rPr>
          <w:b/>
          <w:bCs/>
          <w:color w:val="884400"/>
          <w:sz w:val="20"/>
          <w:szCs w:val="20"/>
        </w:rPr>
        <w:t xml:space="preserve">⚠ </w:t>
      </w:r>
      <w:r>
        <w:rPr>
          <w:i/>
          <w:iCs/>
          <w:color w:val="884400"/>
          <w:sz w:val="20"/>
          <w:szCs w:val="20"/>
        </w:rPr>
        <w:t xml:space="preserve">This is the Kaggle baseline placeholder, not a real outcome — see "Known Data Issue" above.</w:t>
      </w:r>
    </w:p>
    <w:p>
      <w:pPr>
        <w:spacing w:after="200"/>
      </w:pPr>
    </w:p>
    <w:p>
      <w:pPr>
        <w:pStyle w:val="Heading2"/>
        <w:spacing w:after="100" w:before="240"/>
      </w:pPr>
      <w:r>
        <w:rPr>
          <w:b/>
          <w:bCs/>
          <w:color w:val="1F4E5F"/>
          <w:sz w:val="24"/>
          <w:szCs w:val="24"/>
        </w:rPr>
        <w:t xml:space="preserve">4.2 By Passenger Class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500"/>
      </w:tblGrid>
      <w:tr>
        <w:tc>
          <w:tcPr>
            <w:tcW w:type="dxa" w:w="3000"/>
            <w:shd w:fill="1F4E5F" w:val="clear"/>
            <w:tcMar>
              <w:top w:type="dxa" w:w="100"/>
              <w:left w:type="dxa" w:w="120"/>
              <w:bottom w:type="dxa" w:w="100"/>
              <w:right w:type="dxa" w:w="120"/>
            </w:tcMar>
            <w:vAlign w:val="center"/>
          </w:tcPr>
          <w:p>
            <w:r>
              <w:rPr>
                <w:b/>
                <w:bCs/>
                <w:color w:val="FFFFFF"/>
                <w:sz w:val="21"/>
                <w:szCs w:val="21"/>
              </w:rPr>
              <w:t xml:space="preserve">Class</w:t>
            </w:r>
          </w:p>
        </w:tc>
        <w:tc>
          <w:tcPr>
            <w:tcW w:type="dxa" w:w="2500"/>
            <w:shd w:fill="1F4E5F" w:val="clear"/>
            <w:tcMar>
              <w:top w:type="dxa" w:w="100"/>
              <w:left w:type="dxa" w:w="120"/>
              <w:bottom w:type="dxa" w:w="100"/>
              <w:right w:type="dxa" w:w="120"/>
            </w:tcMar>
            <w:vAlign w:val="center"/>
          </w:tcPr>
          <w:p>
            <w:r>
              <w:rPr>
                <w:b/>
                <w:bCs/>
                <w:color w:val="FFFFFF"/>
                <w:sz w:val="21"/>
                <w:szCs w:val="21"/>
              </w:rPr>
              <w:t xml:space="preserve">Count</w:t>
            </w:r>
          </w:p>
        </w:tc>
        <w:tc>
          <w:tcPr>
            <w:tcW w:type="dxa" w:w="2500"/>
            <w:shd w:fill="1F4E5F" w:val="clear"/>
            <w:tcMar>
              <w:top w:type="dxa" w:w="100"/>
              <w:left w:type="dxa" w:w="120"/>
              <w:bottom w:type="dxa" w:w="100"/>
              <w:right w:type="dxa" w:w="120"/>
            </w:tcMar>
            <w:vAlign w:val="center"/>
          </w:tcPr>
          <w:p>
            <w:r>
              <w:rPr>
                <w:b/>
                <w:bCs/>
                <w:color w:val="FFFFFF"/>
                <w:sz w:val="21"/>
                <w:szCs w:val="21"/>
              </w:rPr>
              <w:t xml:space="preserve">Survival Rate</w:t>
            </w:r>
          </w:p>
        </w:tc>
      </w:tr>
      <w:tr>
        <w:tc>
          <w:tcPr>
            <w:tcW w:type="dxa" w:w="3000"/>
            <w:shd w:fill="FFFFFF" w:val="clear"/>
            <w:tcMar>
              <w:top w:type="dxa" w:w="100"/>
              <w:left w:type="dxa" w:w="120"/>
              <w:bottom w:type="dxa" w:w="100"/>
              <w:right w:type="dxa" w:w="120"/>
            </w:tcMar>
            <w:vAlign w:val="center"/>
          </w:tcPr>
          <w:p>
            <w:r>
              <w:rPr>
                <w:b w:val="false"/>
                <w:bCs w:val="false"/>
                <w:color w:val="222222"/>
                <w:sz w:val="21"/>
                <w:szCs w:val="21"/>
              </w:rPr>
              <w:t xml:space="preserve">1st Class</w:t>
            </w:r>
          </w:p>
        </w:tc>
        <w:tc>
          <w:tcPr>
            <w:tcW w:type="dxa" w:w="2500"/>
            <w:shd w:fill="FFFFFF" w:val="clear"/>
            <w:tcMar>
              <w:top w:type="dxa" w:w="100"/>
              <w:left w:type="dxa" w:w="120"/>
              <w:bottom w:type="dxa" w:w="100"/>
              <w:right w:type="dxa" w:w="120"/>
            </w:tcMar>
            <w:vAlign w:val="center"/>
          </w:tcPr>
          <w:p>
            <w:r>
              <w:rPr>
                <w:b w:val="false"/>
                <w:bCs w:val="false"/>
                <w:color w:val="222222"/>
                <w:sz w:val="21"/>
                <w:szCs w:val="21"/>
              </w:rPr>
              <w:t xml:space="preserve">107</w:t>
            </w:r>
          </w:p>
        </w:tc>
        <w:tc>
          <w:tcPr>
            <w:tcW w:type="dxa" w:w="2500"/>
            <w:shd w:fill="FFFFFF" w:val="clear"/>
            <w:tcMar>
              <w:top w:type="dxa" w:w="100"/>
              <w:left w:type="dxa" w:w="120"/>
              <w:bottom w:type="dxa" w:w="100"/>
              <w:right w:type="dxa" w:w="120"/>
            </w:tcMar>
            <w:vAlign w:val="center"/>
          </w:tcPr>
          <w:p>
            <w:r>
              <w:rPr>
                <w:b w:val="false"/>
                <w:bCs w:val="false"/>
                <w:color w:val="222222"/>
                <w:sz w:val="21"/>
                <w:szCs w:val="21"/>
              </w:rPr>
              <w:t xml:space="preserve">46.73%</w:t>
            </w:r>
          </w:p>
        </w:tc>
      </w:tr>
      <w:tr>
        <w:tc>
          <w:tcPr>
            <w:tcW w:type="dxa" w:w="3000"/>
            <w:shd w:fill="FFFFFF" w:val="clear"/>
            <w:tcMar>
              <w:top w:type="dxa" w:w="100"/>
              <w:left w:type="dxa" w:w="120"/>
              <w:bottom w:type="dxa" w:w="100"/>
              <w:right w:type="dxa" w:w="120"/>
            </w:tcMar>
            <w:vAlign w:val="center"/>
          </w:tcPr>
          <w:p>
            <w:r>
              <w:rPr>
                <w:b w:val="false"/>
                <w:bCs w:val="false"/>
                <w:color w:val="222222"/>
                <w:sz w:val="21"/>
                <w:szCs w:val="21"/>
              </w:rPr>
              <w:t xml:space="preserve">2nd Class</w:t>
            </w:r>
          </w:p>
        </w:tc>
        <w:tc>
          <w:tcPr>
            <w:tcW w:type="dxa" w:w="2500"/>
            <w:shd w:fill="FFFFFF" w:val="clear"/>
            <w:tcMar>
              <w:top w:type="dxa" w:w="100"/>
              <w:left w:type="dxa" w:w="120"/>
              <w:bottom w:type="dxa" w:w="100"/>
              <w:right w:type="dxa" w:w="120"/>
            </w:tcMar>
            <w:vAlign w:val="center"/>
          </w:tcPr>
          <w:p>
            <w:r>
              <w:rPr>
                <w:b w:val="false"/>
                <w:bCs w:val="false"/>
                <w:color w:val="222222"/>
                <w:sz w:val="21"/>
                <w:szCs w:val="21"/>
              </w:rPr>
              <w:t xml:space="preserve">93</w:t>
            </w:r>
          </w:p>
        </w:tc>
        <w:tc>
          <w:tcPr>
            <w:tcW w:type="dxa" w:w="2500"/>
            <w:shd w:fill="FFFFFF" w:val="clear"/>
            <w:tcMar>
              <w:top w:type="dxa" w:w="100"/>
              <w:left w:type="dxa" w:w="120"/>
              <w:bottom w:type="dxa" w:w="100"/>
              <w:right w:type="dxa" w:w="120"/>
            </w:tcMar>
            <w:vAlign w:val="center"/>
          </w:tcPr>
          <w:p>
            <w:r>
              <w:rPr>
                <w:b w:val="false"/>
                <w:bCs w:val="false"/>
                <w:color w:val="222222"/>
                <w:sz w:val="21"/>
                <w:szCs w:val="21"/>
              </w:rPr>
              <w:t xml:space="preserve">32.26%</w:t>
            </w:r>
          </w:p>
        </w:tc>
      </w:tr>
      <w:tr>
        <w:tc>
          <w:tcPr>
            <w:tcW w:type="dxa" w:w="3000"/>
            <w:shd w:fill="FFFFFF" w:val="clear"/>
            <w:tcMar>
              <w:top w:type="dxa" w:w="100"/>
              <w:left w:type="dxa" w:w="120"/>
              <w:bottom w:type="dxa" w:w="100"/>
              <w:right w:type="dxa" w:w="120"/>
            </w:tcMar>
            <w:vAlign w:val="center"/>
          </w:tcPr>
          <w:p>
            <w:r>
              <w:rPr>
                <w:b w:val="false"/>
                <w:bCs w:val="false"/>
                <w:color w:val="222222"/>
                <w:sz w:val="21"/>
                <w:szCs w:val="21"/>
              </w:rPr>
              <w:t xml:space="preserve">3rd Class</w:t>
            </w:r>
          </w:p>
        </w:tc>
        <w:tc>
          <w:tcPr>
            <w:tcW w:type="dxa" w:w="2500"/>
            <w:shd w:fill="FFFFFF" w:val="clear"/>
            <w:tcMar>
              <w:top w:type="dxa" w:w="100"/>
              <w:left w:type="dxa" w:w="120"/>
              <w:bottom w:type="dxa" w:w="100"/>
              <w:right w:type="dxa" w:w="120"/>
            </w:tcMar>
            <w:vAlign w:val="center"/>
          </w:tcPr>
          <w:p>
            <w:r>
              <w:rPr>
                <w:b w:val="false"/>
                <w:bCs w:val="false"/>
                <w:color w:val="222222"/>
                <w:sz w:val="21"/>
                <w:szCs w:val="21"/>
              </w:rPr>
              <w:t xml:space="preserve">218</w:t>
            </w:r>
          </w:p>
        </w:tc>
        <w:tc>
          <w:tcPr>
            <w:tcW w:type="dxa" w:w="2500"/>
            <w:shd w:fill="FFFFFF" w:val="clear"/>
            <w:tcMar>
              <w:top w:type="dxa" w:w="100"/>
              <w:left w:type="dxa" w:w="120"/>
              <w:bottom w:type="dxa" w:w="100"/>
              <w:right w:type="dxa" w:w="120"/>
            </w:tcMar>
            <w:vAlign w:val="center"/>
          </w:tcPr>
          <w:p>
            <w:r>
              <w:rPr>
                <w:b w:val="false"/>
                <w:bCs w:val="false"/>
                <w:color w:val="222222"/>
                <w:sz w:val="21"/>
                <w:szCs w:val="21"/>
              </w:rPr>
              <w:t xml:space="preserve">33.03%</w:t>
            </w:r>
          </w:p>
        </w:tc>
      </w:tr>
    </w:tbl>
    <w:p>
      <w:pPr>
        <w:spacing w:after="200"/>
      </w:pPr>
    </w:p>
    <w:p>
      <w:pPr>
        <w:pStyle w:val="Heading2"/>
        <w:spacing w:after="100" w:before="240"/>
      </w:pPr>
      <w:r>
        <w:rPr>
          <w:b/>
          <w:bCs/>
          <w:color w:val="1F4E5F"/>
          <w:sz w:val="24"/>
          <w:szCs w:val="24"/>
        </w:rPr>
        <w:t xml:space="preserve">4.3 By Family Status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500"/>
      </w:tblGrid>
      <w:tr>
        <w:tc>
          <w:tcPr>
            <w:tcW w:type="dxa" w:w="3000"/>
            <w:shd w:fill="1F4E5F" w:val="clear"/>
            <w:tcMar>
              <w:top w:type="dxa" w:w="100"/>
              <w:left w:type="dxa" w:w="120"/>
              <w:bottom w:type="dxa" w:w="100"/>
              <w:right w:type="dxa" w:w="120"/>
            </w:tcMar>
            <w:vAlign w:val="center"/>
          </w:tcPr>
          <w:p>
            <w:r>
              <w:rPr>
                <w:b/>
                <w:bCs/>
                <w:color w:val="FFFFFF"/>
                <w:sz w:val="21"/>
                <w:szCs w:val="21"/>
              </w:rPr>
              <w:t xml:space="preserve">Status</w:t>
            </w:r>
          </w:p>
        </w:tc>
        <w:tc>
          <w:tcPr>
            <w:tcW w:type="dxa" w:w="2500"/>
            <w:shd w:fill="1F4E5F" w:val="clear"/>
            <w:tcMar>
              <w:top w:type="dxa" w:w="100"/>
              <w:left w:type="dxa" w:w="120"/>
              <w:bottom w:type="dxa" w:w="100"/>
              <w:right w:type="dxa" w:w="120"/>
            </w:tcMar>
            <w:vAlign w:val="center"/>
          </w:tcPr>
          <w:p>
            <w:r>
              <w:rPr>
                <w:b/>
                <w:bCs/>
                <w:color w:val="FFFFFF"/>
                <w:sz w:val="21"/>
                <w:szCs w:val="21"/>
              </w:rPr>
              <w:t xml:space="preserve">Count</w:t>
            </w:r>
          </w:p>
        </w:tc>
        <w:tc>
          <w:tcPr>
            <w:tcW w:type="dxa" w:w="2500"/>
            <w:shd w:fill="1F4E5F" w:val="clear"/>
            <w:tcMar>
              <w:top w:type="dxa" w:w="100"/>
              <w:left w:type="dxa" w:w="120"/>
              <w:bottom w:type="dxa" w:w="100"/>
              <w:right w:type="dxa" w:w="120"/>
            </w:tcMar>
            <w:vAlign w:val="center"/>
          </w:tcPr>
          <w:p>
            <w:r>
              <w:rPr>
                <w:b/>
                <w:bCs/>
                <w:color w:val="FFFFFF"/>
                <w:sz w:val="21"/>
                <w:szCs w:val="21"/>
              </w:rPr>
              <w:t xml:space="preserve">Survival Rate</w:t>
            </w:r>
          </w:p>
        </w:tc>
      </w:tr>
      <w:tr>
        <w:tc>
          <w:tcPr>
            <w:tcW w:type="dxa" w:w="3000"/>
            <w:shd w:fill="FFFFFF" w:val="clear"/>
            <w:tcMar>
              <w:top w:type="dxa" w:w="100"/>
              <w:left w:type="dxa" w:w="120"/>
              <w:bottom w:type="dxa" w:w="100"/>
              <w:right w:type="dxa" w:w="120"/>
            </w:tcMar>
            <w:vAlign w:val="center"/>
          </w:tcPr>
          <w:p>
            <w:r>
              <w:rPr>
                <w:b w:val="false"/>
                <w:bCs w:val="false"/>
                <w:color w:val="222222"/>
                <w:sz w:val="21"/>
                <w:szCs w:val="21"/>
              </w:rPr>
              <w:t xml:space="preserve">Traveling with Family</w:t>
            </w:r>
          </w:p>
        </w:tc>
        <w:tc>
          <w:tcPr>
            <w:tcW w:type="dxa" w:w="2500"/>
            <w:shd w:fill="FFFFFF" w:val="clear"/>
            <w:tcMar>
              <w:top w:type="dxa" w:w="100"/>
              <w:left w:type="dxa" w:w="120"/>
              <w:bottom w:type="dxa" w:w="100"/>
              <w:right w:type="dxa" w:w="120"/>
            </w:tcMar>
            <w:vAlign w:val="center"/>
          </w:tcPr>
          <w:p>
            <w:r>
              <w:rPr>
                <w:b w:val="false"/>
                <w:bCs w:val="false"/>
                <w:color w:val="222222"/>
                <w:sz w:val="21"/>
                <w:szCs w:val="21"/>
              </w:rPr>
              <w:t xml:space="preserve">165</w:t>
            </w:r>
          </w:p>
        </w:tc>
        <w:tc>
          <w:tcPr>
            <w:tcW w:type="dxa" w:w="2500"/>
            <w:shd w:fill="FFFFFF" w:val="clear"/>
            <w:tcMar>
              <w:top w:type="dxa" w:w="100"/>
              <w:left w:type="dxa" w:w="120"/>
              <w:bottom w:type="dxa" w:w="100"/>
              <w:right w:type="dxa" w:w="120"/>
            </w:tcMar>
            <w:vAlign w:val="center"/>
          </w:tcPr>
          <w:p>
            <w:r>
              <w:rPr>
                <w:b w:val="false"/>
                <w:bCs w:val="false"/>
                <w:color w:val="222222"/>
                <w:sz w:val="21"/>
                <w:szCs w:val="21"/>
              </w:rPr>
              <w:t xml:space="preserve">50.91%</w:t>
            </w:r>
          </w:p>
        </w:tc>
      </w:tr>
      <w:tr>
        <w:tc>
          <w:tcPr>
            <w:tcW w:type="dxa" w:w="3000"/>
            <w:shd w:fill="FFFFFF" w:val="clear"/>
            <w:tcMar>
              <w:top w:type="dxa" w:w="100"/>
              <w:left w:type="dxa" w:w="120"/>
              <w:bottom w:type="dxa" w:w="100"/>
              <w:right w:type="dxa" w:w="120"/>
            </w:tcMar>
            <w:vAlign w:val="center"/>
          </w:tcPr>
          <w:p>
            <w:r>
              <w:rPr>
                <w:b w:val="false"/>
                <w:bCs w:val="false"/>
                <w:color w:val="222222"/>
                <w:sz w:val="21"/>
                <w:szCs w:val="21"/>
              </w:rPr>
              <w:t xml:space="preserve">Traveling Alone</w:t>
            </w:r>
          </w:p>
        </w:tc>
        <w:tc>
          <w:tcPr>
            <w:tcW w:type="dxa" w:w="2500"/>
            <w:shd w:fill="FFFFFF" w:val="clear"/>
            <w:tcMar>
              <w:top w:type="dxa" w:w="100"/>
              <w:left w:type="dxa" w:w="120"/>
              <w:bottom w:type="dxa" w:w="100"/>
              <w:right w:type="dxa" w:w="120"/>
            </w:tcMar>
            <w:vAlign w:val="center"/>
          </w:tcPr>
          <w:p>
            <w:r>
              <w:rPr>
                <w:b w:val="false"/>
                <w:bCs w:val="false"/>
                <w:color w:val="222222"/>
                <w:sz w:val="21"/>
                <w:szCs w:val="21"/>
              </w:rPr>
              <w:t xml:space="preserve">253</w:t>
            </w:r>
          </w:p>
        </w:tc>
        <w:tc>
          <w:tcPr>
            <w:tcW w:type="dxa" w:w="2500"/>
            <w:shd w:fill="FFFFFF" w:val="clear"/>
            <w:tcMar>
              <w:top w:type="dxa" w:w="100"/>
              <w:left w:type="dxa" w:w="120"/>
              <w:bottom w:type="dxa" w:w="100"/>
              <w:right w:type="dxa" w:w="120"/>
            </w:tcMar>
            <w:vAlign w:val="center"/>
          </w:tcPr>
          <w:p>
            <w:r>
              <w:rPr>
                <w:b w:val="false"/>
                <w:bCs w:val="false"/>
                <w:color w:val="222222"/>
                <w:sz w:val="21"/>
                <w:szCs w:val="21"/>
              </w:rPr>
              <w:t xml:space="preserve">26.88%</w:t>
            </w:r>
          </w:p>
        </w:tc>
      </w:tr>
    </w:tbl>
    <w:p>
      <w:pPr>
        <w:spacing w:after="200"/>
      </w:pPr>
    </w:p>
    <w:p>
      <w:pPr>
        <w:pStyle w:val="Heading1"/>
        <w:spacing w:after="150" w:before="300"/>
      </w:pPr>
      <w:r>
        <w:rPr>
          <w:b/>
          <w:bCs/>
          <w:color w:val="1F4E5F"/>
          <w:sz w:val="30"/>
          <w:szCs w:val="30"/>
        </w:rPr>
        <w:t xml:space="preserve">5. Key Takeaways</w:t>
      </w:r>
    </w:p>
    <w:p>
      <w:pPr>
        <w:pStyle w:val="ListParagraph"/>
        <w:numPr>
          <w:ilvl w:val="0"/>
          <w:numId w:val="1"/>
        </w:numPr>
        <w:spacing w:after="80"/>
      </w:pPr>
      <w:r>
        <w:rPr>
          <w:sz w:val="22"/>
          <w:szCs w:val="22"/>
        </w:rPr>
        <w:t xml:space="preserve">First-class passengers had the highest survival rate (46.73%), nearly 14 points above 2nd and 3rd class.</w:t>
      </w:r>
    </w:p>
    <w:p>
      <w:pPr>
        <w:pStyle w:val="ListParagraph"/>
        <w:numPr>
          <w:ilvl w:val="0"/>
          <w:numId w:val="1"/>
        </w:numPr>
        <w:spacing w:after="80"/>
      </w:pPr>
      <w:r>
        <w:rPr>
          <w:sz w:val="22"/>
          <w:szCs w:val="22"/>
        </w:rPr>
        <w:t xml:space="preserve">Passengers traveling with family were almost twice as likely to survive as those traveling alone (50.91% vs. 26.88%).</w:t>
      </w:r>
    </w:p>
    <w:p>
      <w:pPr>
        <w:pStyle w:val="ListParagraph"/>
        <w:numPr>
          <w:ilvl w:val="0"/>
          <w:numId w:val="1"/>
        </w:numPr>
        <w:spacing w:after="80"/>
      </w:pPr>
      <w:r>
        <w:rPr>
          <w:sz w:val="22"/>
          <w:szCs w:val="22"/>
        </w:rPr>
        <w:t xml:space="preserve">The sex-based split (100%/0%) is a data artifact from the Kaggle baseline, not a genuine finding — see the Known Data Issue section.</w:t>
      </w:r>
    </w:p>
    <w:p>
      <w:pPr>
        <w:pStyle w:val="ListParagraph"/>
        <w:numPr>
          <w:ilvl w:val="0"/>
          <w:numId w:val="1"/>
        </w:numPr>
        <w:spacing w:after="80"/>
      </w:pPr>
      <w:r>
        <w:rPr>
          <w:sz w:val="22"/>
          <w:szCs w:val="22"/>
        </w:rPr>
        <w:t xml:space="preserve">The class and family-status patterns are directionally consistent with the historical "women and children first" protocol and the lifeboat-access advantage of higher-class passengers, but should be re-validated on real outcome data (train.csv).</w:t>
      </w:r>
    </w:p>
    <w:p>
      <w:pPr>
        <w:pStyle w:val="Heading1"/>
        <w:spacing w:after="150" w:before="300"/>
      </w:pPr>
      <w:r>
        <w:rPr>
          <w:b/>
          <w:bCs/>
          <w:color w:val="1F4E5F"/>
          <w:sz w:val="30"/>
          <w:szCs w:val="30"/>
        </w:rPr>
        <w:t xml:space="preserve">6. Data Preparation Behind the Insights</w:t>
      </w:r>
    </w:p>
    <w:p>
      <w:pPr>
        <w:spacing w:after="120"/>
      </w:pPr>
      <w:r>
        <w:rPr>
          <w:sz w:val="22"/>
          <w:szCs w:val="22"/>
        </w:rPr>
        <w:t xml:space="preserve">Missing Age values were imputed using the median age within each passenger title group (Mr, Mrs, Miss, Master, Rare). Cabin data, largely missing, was converted into a binary Has_Cabin indicator and a Deck feature rather than dropped entirely. Family size and an IsAlone flag were derived from sibling/spouse and parent/child counts, and passengers were grouped into age bands (Child, Teenager, Young Adult, Adult, Senior) to support the breakdowns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2026-09-18T13:33:28.374Z</dcterms:created>
  <dcterms:modified xsi:type="dcterms:W3CDTF">2026-09-18T13:33:28.374Z</dcterms:modified>
</cp:coreProperties>
</file>

<file path=docProps/custom.xml><?xml version="1.0" encoding="utf-8"?>
<Properties xmlns="http://schemas.openxmlformats.org/officeDocument/2006/custom-properties" xmlns:vt="http://schemas.openxmlformats.org/officeDocument/2006/docPropsVTypes"/>
</file>