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5F"/>
          <w:sz w:val="44"/>
          <w:szCs w:val="44"/>
        </w:rPr>
        <w:t xml:space="preserve">🚢 Titanic Survival Analysis</w:t>
      </w:r>
    </w:p>
    <w:p>
      <w:pPr>
        <w:spacing w:after="300"/>
        <w:jc w:val="center"/>
      </w:pPr>
      <w:r>
        <w:rPr>
          <w:i/>
          <w:iCs/>
          <w:color w:val="555555"/>
          <w:sz w:val="26"/>
          <w:szCs w:val="26"/>
        </w:rPr>
        <w:t xml:space="preserve">Project Insights Report</w:t>
      </w:r>
    </w:p>
    <w:p>
      <w:pPr>
        <w:pBdr>
          <w:bottom w:val="single" w:color="CCCCCC" w:sz="6" w:space="1"/>
        </w:pBdr>
        <w:spacing w:after="200" w:before="100"/>
      </w:pPr>
    </w:p>
    <w:p>
      <w:pPr>
        <w:pStyle w:val="Heading1"/>
        <w:spacing w:after="150" w:before="300"/>
      </w:pPr>
      <w:r>
        <w:rPr>
          <w:b/>
          <w:bCs/>
          <w:color w:val="1F4E5F"/>
          <w:sz w:val="30"/>
          <w:szCs w:val="30"/>
        </w:rPr>
        <w:t xml:space="preserve">1. Overview</w:t>
      </w:r>
    </w:p>
    <w:p>
      <w:pPr>
        <w:spacing w:after="120"/>
      </w:pPr>
      <w:r>
        <w:rPr>
          <w:sz w:val="22"/>
          <w:szCs w:val="22"/>
        </w:rPr>
        <w:t xml:space="preserve">This report summarizes the key insights extracted from the Titanic dataset after data cleaning and feature engineering. The analysis covers overall survival statistics and how survival rate varied across passenger sex, class, and family status, forming the basis of the interactive Streamlit dashboard built for this project.</w:t>
      </w:r>
    </w:p>
    <w:p>
      <w:pPr>
        <w:pStyle w:val="Heading1"/>
        <w:spacing w:after="150" w:before="300"/>
      </w:pPr>
      <w:r>
        <w:rPr>
          <w:b/>
          <w:bCs/>
          <w:color w:val="1F4E5F"/>
          <w:sz w:val="30"/>
          <w:szCs w:val="30"/>
        </w:rPr>
        <w:t xml:space="preserve">2. Overall KPIs</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4500"/>
        <w:gridCol w:w="3000"/>
      </w:tblGrid>
      <w:tr>
        <w:tc>
          <w:tcPr>
            <w:tcW w:type="dxa" w:w="4500"/>
            <w:shd w:fill="1F4E5F" w:val="clear"/>
            <w:tcMar>
              <w:top w:type="dxa" w:w="100"/>
              <w:left w:type="dxa" w:w="120"/>
              <w:bottom w:type="dxa" w:w="100"/>
              <w:right w:type="dxa" w:w="120"/>
            </w:tcMar>
            <w:vAlign w:val="center"/>
          </w:tcPr>
          <w:p>
            <w:r>
              <w:rPr>
                <w:b/>
                <w:bCs/>
                <w:color w:val="FFFFFF"/>
                <w:sz w:val="21"/>
                <w:szCs w:val="21"/>
              </w:rPr>
              <w:t xml:space="preserve">Metric</w:t>
            </w:r>
          </w:p>
        </w:tc>
        <w:tc>
          <w:tcPr>
            <w:tcW w:type="dxa" w:w="3000"/>
            <w:shd w:fill="1F4E5F" w:val="clear"/>
            <w:tcMar>
              <w:top w:type="dxa" w:w="100"/>
              <w:left w:type="dxa" w:w="120"/>
              <w:bottom w:type="dxa" w:w="100"/>
              <w:right w:type="dxa" w:w="120"/>
            </w:tcMar>
            <w:vAlign w:val="center"/>
          </w:tcPr>
          <w:p>
            <w:r>
              <w:rPr>
                <w:b/>
                <w:bCs/>
                <w:color w:val="FFFFFF"/>
                <w:sz w:val="21"/>
                <w:szCs w:val="21"/>
              </w:rPr>
              <w:t xml:space="preserve">Value</w:t>
            </w:r>
          </w:p>
        </w:tc>
      </w:tr>
      <w:tr>
        <w:tc>
          <w:tcPr>
            <w:tcW w:type="dxa" w:w="4500"/>
            <w:shd w:fill="FFFFFF" w:val="clear"/>
            <w:tcMar>
              <w:top w:type="dxa" w:w="100"/>
              <w:left w:type="dxa" w:w="120"/>
              <w:bottom w:type="dxa" w:w="100"/>
              <w:right w:type="dxa" w:w="120"/>
            </w:tcMar>
            <w:vAlign w:val="center"/>
          </w:tcPr>
          <w:p>
            <w:r>
              <w:rPr>
                <w:b w:val="false"/>
                <w:bCs w:val="false"/>
                <w:color w:val="222222"/>
                <w:sz w:val="21"/>
                <w:szCs w:val="21"/>
              </w:rPr>
              <w:t xml:space="preserve">Total Passengers</w:t>
            </w:r>
          </w:p>
        </w:tc>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418</w:t>
            </w:r>
          </w:p>
        </w:tc>
      </w:tr>
      <w:tr>
        <w:tc>
          <w:tcPr>
            <w:tcW w:type="dxa" w:w="4500"/>
            <w:shd w:fill="FFFFFF" w:val="clear"/>
            <w:tcMar>
              <w:top w:type="dxa" w:w="100"/>
              <w:left w:type="dxa" w:w="120"/>
              <w:bottom w:type="dxa" w:w="100"/>
              <w:right w:type="dxa" w:w="120"/>
            </w:tcMar>
            <w:vAlign w:val="center"/>
          </w:tcPr>
          <w:p>
            <w:r>
              <w:rPr>
                <w:b w:val="false"/>
                <w:bCs w:val="false"/>
                <w:color w:val="222222"/>
                <w:sz w:val="21"/>
                <w:szCs w:val="21"/>
              </w:rPr>
              <w:t xml:space="preserve">Total Survived</w:t>
            </w:r>
          </w:p>
        </w:tc>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152</w:t>
            </w:r>
          </w:p>
        </w:tc>
      </w:tr>
      <w:tr>
        <w:tc>
          <w:tcPr>
            <w:tcW w:type="dxa" w:w="4500"/>
            <w:shd w:fill="FFFFFF" w:val="clear"/>
            <w:tcMar>
              <w:top w:type="dxa" w:w="100"/>
              <w:left w:type="dxa" w:w="120"/>
              <w:bottom w:type="dxa" w:w="100"/>
              <w:right w:type="dxa" w:w="120"/>
            </w:tcMar>
            <w:vAlign w:val="center"/>
          </w:tcPr>
          <w:p>
            <w:r>
              <w:rPr>
                <w:b w:val="false"/>
                <w:bCs w:val="false"/>
                <w:color w:val="222222"/>
                <w:sz w:val="21"/>
                <w:szCs w:val="21"/>
              </w:rPr>
              <w:t xml:space="preserve">Overall Survival Rate</w:t>
            </w:r>
          </w:p>
        </w:tc>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36.36%</w:t>
            </w:r>
          </w:p>
        </w:tc>
      </w:tr>
      <w:tr>
        <w:tc>
          <w:tcPr>
            <w:tcW w:type="dxa" w:w="4500"/>
            <w:shd w:fill="FFFFFF" w:val="clear"/>
            <w:tcMar>
              <w:top w:type="dxa" w:w="100"/>
              <w:left w:type="dxa" w:w="120"/>
              <w:bottom w:type="dxa" w:w="100"/>
              <w:right w:type="dxa" w:w="120"/>
            </w:tcMar>
            <w:vAlign w:val="center"/>
          </w:tcPr>
          <w:p>
            <w:r>
              <w:rPr>
                <w:b w:val="false"/>
                <w:bCs w:val="false"/>
                <w:color w:val="222222"/>
                <w:sz w:val="21"/>
                <w:szCs w:val="21"/>
              </w:rPr>
              <w:t xml:space="preserve">Average Fare</w:t>
            </w:r>
          </w:p>
        </w:tc>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$35.63</w:t>
            </w:r>
          </w:p>
        </w:tc>
      </w:tr>
      <w:tr>
        <w:tc>
          <w:tcPr>
            <w:tcW w:type="dxa" w:w="4500"/>
            <w:shd w:fill="FFFFFF" w:val="clear"/>
            <w:tcMar>
              <w:top w:type="dxa" w:w="100"/>
              <w:left w:type="dxa" w:w="120"/>
              <w:bottom w:type="dxa" w:w="100"/>
              <w:right w:type="dxa" w:w="120"/>
            </w:tcMar>
            <w:vAlign w:val="center"/>
          </w:tcPr>
          <w:p>
            <w:r>
              <w:rPr>
                <w:b w:val="false"/>
                <w:bCs w:val="false"/>
                <w:color w:val="222222"/>
                <w:sz w:val="21"/>
                <w:szCs w:val="21"/>
              </w:rPr>
              <w:t xml:space="preserve">Average Age</w:t>
            </w:r>
          </w:p>
        </w:tc>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29.7 years</w:t>
            </w:r>
          </w:p>
        </w:tc>
      </w:tr>
    </w:tbl>
    <w:p>
      <w:pPr>
        <w:spacing w:after="200"/>
      </w:pPr>
    </w:p>
    <w:p>
      <w:pPr>
        <w:pStyle w:val="Heading1"/>
        <w:spacing w:after="150" w:before="300"/>
      </w:pPr>
      <w:r>
        <w:rPr>
          <w:b/>
          <w:bCs/>
          <w:color w:val="1F4E5F"/>
          <w:sz w:val="30"/>
          <w:szCs w:val="30"/>
        </w:rPr>
        <w:t xml:space="preserve">3. Survival Breakdown by Category</w:t>
      </w:r>
    </w:p>
    <w:p>
      <w:pPr>
        <w:pStyle w:val="Heading2"/>
        <w:spacing w:after="100" w:before="240"/>
      </w:pPr>
      <w:r>
        <w:rPr>
          <w:b/>
          <w:bCs/>
          <w:color w:val="1F4E5F"/>
          <w:sz w:val="24"/>
          <w:szCs w:val="24"/>
        </w:rPr>
        <w:t xml:space="preserve">3.1 By Sex</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tblGrid>
      <w:tr>
        <w:tc>
          <w:tcPr>
            <w:tcW w:type="dxa" w:w="3000"/>
            <w:shd w:fill="1F4E5F" w:val="clear"/>
            <w:tcMar>
              <w:top w:type="dxa" w:w="100"/>
              <w:left w:type="dxa" w:w="120"/>
              <w:bottom w:type="dxa" w:w="100"/>
              <w:right w:type="dxa" w:w="120"/>
            </w:tcMar>
            <w:vAlign w:val="center"/>
          </w:tcPr>
          <w:p>
            <w:r>
              <w:rPr>
                <w:b/>
                <w:bCs/>
                <w:color w:val="FFFFFF"/>
                <w:sz w:val="21"/>
                <w:szCs w:val="21"/>
              </w:rPr>
              <w:t xml:space="preserve">Sex</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Count</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Survival Rate</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Female</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152</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100.0%</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Male</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266</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0.0%</w:t>
            </w:r>
          </w:p>
        </w:tc>
      </w:tr>
    </w:tbl>
    <w:p>
      <w:pPr>
        <w:spacing w:after="100"/>
      </w:pPr>
      <w:r>
        <w:rPr>
          <w:b/>
          <w:bCs/>
          <w:i/>
          <w:iCs/>
          <w:color w:val="884400"/>
          <w:sz w:val="20"/>
          <w:szCs w:val="20"/>
        </w:rPr>
        <w:t xml:space="preserve">Note: </w:t>
      </w:r>
      <w:r>
        <w:rPr>
          <w:i/>
          <w:iCs/>
          <w:color w:val="884400"/>
          <w:sz w:val="20"/>
          <w:szCs w:val="20"/>
        </w:rPr>
        <w:t xml:space="preserve">This extreme 100%/0% split is unusually clean compared to the widely known Titanic pattern (roughly 74% female vs. 19% male survival) and is worth double-checking against the source data or labeling logic.</w:t>
      </w:r>
    </w:p>
    <w:p>
      <w:pPr>
        <w:spacing w:after="200"/>
      </w:pPr>
    </w:p>
    <w:p>
      <w:pPr>
        <w:pStyle w:val="Heading2"/>
        <w:spacing w:after="100" w:before="240"/>
      </w:pPr>
      <w:r>
        <w:rPr>
          <w:b/>
          <w:bCs/>
          <w:color w:val="1F4E5F"/>
          <w:sz w:val="24"/>
          <w:szCs w:val="24"/>
        </w:rPr>
        <w:t xml:space="preserve">3.2 By Passenger Class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tblGrid>
      <w:tr>
        <w:tc>
          <w:tcPr>
            <w:tcW w:type="dxa" w:w="3000"/>
            <w:shd w:fill="1F4E5F" w:val="clear"/>
            <w:tcMar>
              <w:top w:type="dxa" w:w="100"/>
              <w:left w:type="dxa" w:w="120"/>
              <w:bottom w:type="dxa" w:w="100"/>
              <w:right w:type="dxa" w:w="120"/>
            </w:tcMar>
            <w:vAlign w:val="center"/>
          </w:tcPr>
          <w:p>
            <w:r>
              <w:rPr>
                <w:b/>
                <w:bCs/>
                <w:color w:val="FFFFFF"/>
                <w:sz w:val="21"/>
                <w:szCs w:val="21"/>
              </w:rPr>
              <w:t xml:space="preserve">Class</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Count</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Survival Rate</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1st Class</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107</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46.73%</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2nd Class</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93</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32.26%</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3rd Class</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218</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33.03%</w:t>
            </w:r>
          </w:p>
        </w:tc>
      </w:tr>
    </w:tbl>
    <w:p>
      <w:pPr>
        <w:spacing w:after="200"/>
      </w:pPr>
    </w:p>
    <w:p>
      <w:pPr>
        <w:pStyle w:val="Heading2"/>
        <w:spacing w:after="100" w:before="240"/>
      </w:pPr>
      <w:r>
        <w:rPr>
          <w:b/>
          <w:bCs/>
          <w:color w:val="1F4E5F"/>
          <w:sz w:val="24"/>
          <w:szCs w:val="24"/>
        </w:rPr>
        <w:t xml:space="preserve">3.3 By Family Status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tblGrid>
      <w:tr>
        <w:tc>
          <w:tcPr>
            <w:tcW w:type="dxa" w:w="3000"/>
            <w:shd w:fill="1F4E5F" w:val="clear"/>
            <w:tcMar>
              <w:top w:type="dxa" w:w="100"/>
              <w:left w:type="dxa" w:w="120"/>
              <w:bottom w:type="dxa" w:w="100"/>
              <w:right w:type="dxa" w:w="120"/>
            </w:tcMar>
            <w:vAlign w:val="center"/>
          </w:tcPr>
          <w:p>
            <w:r>
              <w:rPr>
                <w:b/>
                <w:bCs/>
                <w:color w:val="FFFFFF"/>
                <w:sz w:val="21"/>
                <w:szCs w:val="21"/>
              </w:rPr>
              <w:t xml:space="preserve">Status</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Count</w:t>
            </w:r>
          </w:p>
        </w:tc>
        <w:tc>
          <w:tcPr>
            <w:tcW w:type="dxa" w:w="2500"/>
            <w:shd w:fill="1F4E5F" w:val="clear"/>
            <w:tcMar>
              <w:top w:type="dxa" w:w="100"/>
              <w:left w:type="dxa" w:w="120"/>
              <w:bottom w:type="dxa" w:w="100"/>
              <w:right w:type="dxa" w:w="120"/>
            </w:tcMar>
            <w:vAlign w:val="center"/>
          </w:tcPr>
          <w:p>
            <w:r>
              <w:rPr>
                <w:b/>
                <w:bCs/>
                <w:color w:val="FFFFFF"/>
                <w:sz w:val="21"/>
                <w:szCs w:val="21"/>
              </w:rPr>
              <w:t xml:space="preserve">Survival Rate</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Traveling with Family</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165</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50.91%</w:t>
            </w:r>
          </w:p>
        </w:tc>
      </w:tr>
      <w:tr>
        <w:tc>
          <w:tcPr>
            <w:tcW w:type="dxa" w:w="3000"/>
            <w:shd w:fill="FFFFFF" w:val="clear"/>
            <w:tcMar>
              <w:top w:type="dxa" w:w="100"/>
              <w:left w:type="dxa" w:w="120"/>
              <w:bottom w:type="dxa" w:w="100"/>
              <w:right w:type="dxa" w:w="120"/>
            </w:tcMar>
            <w:vAlign w:val="center"/>
          </w:tcPr>
          <w:p>
            <w:r>
              <w:rPr>
                <w:b w:val="false"/>
                <w:bCs w:val="false"/>
                <w:color w:val="222222"/>
                <w:sz w:val="21"/>
                <w:szCs w:val="21"/>
              </w:rPr>
              <w:t xml:space="preserve">Traveling Alone</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253</w:t>
            </w:r>
          </w:p>
        </w:tc>
        <w:tc>
          <w:tcPr>
            <w:tcW w:type="dxa" w:w="2500"/>
            <w:shd w:fill="FFFFFF" w:val="clear"/>
            <w:tcMar>
              <w:top w:type="dxa" w:w="100"/>
              <w:left w:type="dxa" w:w="120"/>
              <w:bottom w:type="dxa" w:w="100"/>
              <w:right w:type="dxa" w:w="120"/>
            </w:tcMar>
            <w:vAlign w:val="center"/>
          </w:tcPr>
          <w:p>
            <w:r>
              <w:rPr>
                <w:b w:val="false"/>
                <w:bCs w:val="false"/>
                <w:color w:val="222222"/>
                <w:sz w:val="21"/>
                <w:szCs w:val="21"/>
              </w:rPr>
              <w:t xml:space="preserve">26.88%</w:t>
            </w:r>
          </w:p>
        </w:tc>
      </w:tr>
    </w:tbl>
    <w:p>
      <w:pPr>
        <w:spacing w:after="200"/>
      </w:pPr>
    </w:p>
    <w:p>
      <w:pPr>
        <w:pStyle w:val="Heading1"/>
        <w:spacing w:after="150" w:before="300"/>
      </w:pPr>
      <w:r>
        <w:rPr>
          <w:b/>
          <w:bCs/>
          <w:color w:val="1F4E5F"/>
          <w:sz w:val="30"/>
          <w:szCs w:val="30"/>
        </w:rPr>
        <w:t xml:space="preserve">4. Key Takeaways</w:t>
      </w:r>
    </w:p>
    <w:p>
      <w:pPr>
        <w:pStyle w:val="ListParagraph"/>
        <w:numPr>
          <w:ilvl w:val="0"/>
          <w:numId w:val="1"/>
        </w:numPr>
        <w:spacing w:after="80"/>
      </w:pPr>
      <w:r>
        <w:rPr>
          <w:sz w:val="22"/>
          <w:szCs w:val="22"/>
        </w:rPr>
        <w:t xml:space="preserve">First-class passengers had the highest survival rate (46.73%), nearly 14 points above 2nd and 3rd class.</w:t>
      </w:r>
    </w:p>
    <w:p>
      <w:pPr>
        <w:pStyle w:val="ListParagraph"/>
        <w:numPr>
          <w:ilvl w:val="0"/>
          <w:numId w:val="1"/>
        </w:numPr>
        <w:spacing w:after="80"/>
      </w:pPr>
      <w:r>
        <w:rPr>
          <w:sz w:val="22"/>
          <w:szCs w:val="22"/>
        </w:rPr>
        <w:t xml:space="preserve">Passengers traveling with family were almost twice as likely to survive as those traveling alone (50.91% vs. 26.88%).</w:t>
      </w:r>
    </w:p>
    <w:p>
      <w:pPr>
        <w:pStyle w:val="ListParagraph"/>
        <w:numPr>
          <w:ilvl w:val="0"/>
          <w:numId w:val="1"/>
        </w:numPr>
        <w:spacing w:after="80"/>
      </w:pPr>
      <w:r>
        <w:rPr>
          <w:sz w:val="22"/>
          <w:szCs w:val="22"/>
        </w:rPr>
        <w:t xml:space="preserve">Sex shows the strongest separation in the data, though the exact 100%/0% split flagged above should be verified.</w:t>
      </w:r>
    </w:p>
    <w:p>
      <w:pPr>
        <w:pStyle w:val="ListParagraph"/>
        <w:numPr>
          <w:ilvl w:val="0"/>
          <w:numId w:val="1"/>
        </w:numPr>
        <w:spacing w:after="80"/>
      </w:pPr>
      <w:r>
        <w:rPr>
          <w:sz w:val="22"/>
          <w:szCs w:val="22"/>
        </w:rPr>
        <w:t xml:space="preserve">These patterns are consistent with the historical "women and children first" protocol and the advantage higher-class passengers had in accessing lifeboats.</w:t>
      </w:r>
    </w:p>
    <w:p>
      <w:pPr>
        <w:pStyle w:val="Heading1"/>
        <w:spacing w:after="150" w:before="300"/>
      </w:pPr>
      <w:r>
        <w:rPr>
          <w:b/>
          <w:bCs/>
          <w:color w:val="1F4E5F"/>
          <w:sz w:val="30"/>
          <w:szCs w:val="30"/>
        </w:rPr>
        <w:t xml:space="preserve">5. Data Preparation Behind the Insights</w:t>
      </w:r>
    </w:p>
    <w:p>
      <w:pPr>
        <w:spacing w:after="120"/>
      </w:pPr>
      <w:r>
        <w:rPr>
          <w:sz w:val="22"/>
          <w:szCs w:val="22"/>
        </w:rPr>
        <w:t xml:space="preserve">Missing Age values were imputed using the median age within each passenger title group (Mr, Mrs, Miss, Master, Rare). Cabin data, largely missing, was converted into a binary Has_Cabin indicator and a Deck feature rather than dropped entirely. Family size and an IsAlone flag were derived from sibling/spouse and parent/child counts, and passengers were grouped into age bands (Child, Teenager, Young Adult, Adult, Senior) to support the breakdowns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2026-09-18T13:24:28.355Z</dcterms:created>
  <dcterms:modified xsi:type="dcterms:W3CDTF">2026-09-18T13:24:28.364Z</dcterms:modified>
</cp:coreProperties>
</file>

<file path=docProps/custom.xml><?xml version="1.0" encoding="utf-8"?>
<Properties xmlns="http://schemas.openxmlformats.org/officeDocument/2006/custom-properties" xmlns:vt="http://schemas.openxmlformats.org/officeDocument/2006/docPropsVTypes"/>
</file>