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Single Page Application Geliştirme ve Sipariş Sonrası Müşteri Deneyimi Akışı</w:t>
      </w:r>
    </w:p>
    <w:p>
      <w:pPr>
        <w:jc w:val="center"/>
      </w:pPr>
      <w:r>
        <w:rPr>
          <w:i/>
          <w:color w:val="5A5A5A"/>
          <w:sz w:val="22"/>
        </w:rPr>
        <w:t>Toplantı Notları ve Tahmini Efor Çalışması</w:t>
      </w:r>
    </w:p>
    <w:p/>
    <w:p>
      <w:pPr>
        <w:pStyle w:val="Heading1"/>
        <w:keepNext/>
      </w:pPr>
      <w:r>
        <w:t>Amaç</w:t>
      </w:r>
    </w:p>
    <w:p>
      <w:r>
        <w:t>E-ticaret veya mağaza üzerinden ürün satın alan müşterilere, sipariş sonrasında SMS ile yönlendirilecekleri bir Single Page Web Application sunulacaktır.</w:t>
      </w:r>
    </w:p>
    <w:p>
      <w:r>
        <w:t>Bu sayfa üzerinden müşteriye aşağıdaki bilgiler ve aksiyonlar gösterilecektir:</w:t>
      </w:r>
    </w:p>
    <w:p>
      <w:pPr>
        <w:pStyle w:val="ListBullet"/>
      </w:pPr>
      <w:r>
        <w:t>Siparişe ait temel bilgiler</w:t>
      </w:r>
    </w:p>
    <w:p>
      <w:pPr>
        <w:pStyle w:val="ListBullet"/>
      </w:pPr>
      <w:r>
        <w:t>Satın alınan ürünlerin kombin önerileri</w:t>
      </w:r>
    </w:p>
    <w:p>
      <w:pPr>
        <w:pStyle w:val="ListBullet"/>
      </w:pPr>
      <w:r>
        <w:t>E-ticaret siparişleri için iade QR bilgisi</w:t>
      </w:r>
    </w:p>
    <w:p>
      <w:pPr>
        <w:pStyle w:val="ListBullet"/>
      </w:pPr>
      <w:r>
        <w:t>Müşteri deneyimi anketi</w:t>
      </w:r>
    </w:p>
    <w:p>
      <w:pPr>
        <w:pStyle w:val="ListBullet"/>
      </w:pPr>
      <w:r>
        <w:t>Müşterinin e-ticaret hesabı durumuna göre login/register yönlendirmeleri</w:t>
      </w:r>
    </w:p>
    <w:p>
      <w:pPr>
        <w:pStyle w:val="Heading1"/>
        <w:keepNext/>
      </w:pPr>
      <w:r>
        <w:t>Kapsam ve İş Kalemleri</w:t>
      </w:r>
    </w:p>
    <w:p>
      <w:pPr>
        <w:pStyle w:val="Heading2"/>
        <w:keepNext/>
      </w:pPr>
      <w:r>
        <w:t>1. Single Page Web Application Geliştirme</w:t>
      </w:r>
    </w:p>
    <w:p>
      <w:r>
        <w:t>Customer Engagement ekibi tarafından single page web application için tasarım, geliştirme ve BFF geliştirmeleri yapılacaktır. Uygulama, müşteriye SMS ile gönderilecek link üzerinden açılacak ve sipariş sonrası deneyimi tek bir sayfa üzerinde sunacaktır. Uygulamanın dışarıya açılması için gerekli süreç geliştirmeler devam ederken başlatılacaktır. Bu sürecin süresi değişkenlik gösterebildiği için net bir efor verilmemiştir.</w:t>
      </w:r>
    </w:p>
    <w:p>
      <w:pPr>
        <w:pStyle w:val="Heading2"/>
        <w:keepNext/>
      </w:pPr>
      <w:r>
        <w:t>2. E-Ticaret Sipariş Eventlerinin Tüketilmesi</w:t>
      </w:r>
    </w:p>
    <w:p>
      <w:r>
        <w:t>E-ticaret siparişleri için Kafka üzerinden “teslim edildi” statüsündeki event tüketilerek süreç başlatılacaktır. İlgili event hazır durumdadır. Customer Engagement ekibi, bu eventleri tüketmek ve single page application akışını başlatmak için gerekli geliştirmeleri yapacaktır.</w:t>
      </w:r>
    </w:p>
    <w:p>
      <w:pPr>
        <w:pStyle w:val="Heading2"/>
        <w:keepNext/>
      </w:pPr>
      <w:r>
        <w:t>3. Mağaza Satış Eventlerinin Tüketilmesi</w:t>
      </w:r>
    </w:p>
    <w:p>
      <w:r>
        <w:t>Mağazacılık satış verileri Kafka üzerinden tüketilecek ve mağaza siparişleri için süreç bu eventler üzerinden başlatılacaktır. Mevcut durumda müşteriyle ilgili payload içerisinde yalnızca customerId bilgisi yer almaktadır. Topic bilgisi paylaşılmıştır.</w:t>
      </w:r>
    </w:p>
    <w:p>
      <w:pPr>
        <w:pStyle w:val="Heading2"/>
        <w:keepNext/>
      </w:pPr>
      <w:r>
        <w:t>4. Sipariş Detay Servisi Entegrasyonu</w:t>
      </w:r>
    </w:p>
    <w:p>
      <w:r>
        <w:t>Hem e-ticaret hem de mağaza siparişlerini kapsayan sipariş detay servisi tamamlanmış ve hazır durumdadır. Örnek curl bilgisi Fulfillment ekibi tarafından paylaşılmıştır. Customer Engagement ekibi, geliştirilecek single page application içerisinde bu servisin entegrasyonunu yapacaktır.</w:t>
      </w:r>
    </w:p>
    <w:p>
      <w:pPr>
        <w:pStyle w:val="Heading2"/>
        <w:keepNext/>
      </w:pPr>
      <w:r>
        <w:t>5. Kombin Gösterimi</w:t>
      </w:r>
    </w:p>
    <w:p>
      <w:r>
        <w:t>Satın alınan ürünlere ilişkin kombin önerilerinin single page application üzerinde gösterilmesi için gerekli implementasyon ve sayfa geliştirmeleri yapılacaktır.</w:t>
      </w:r>
    </w:p>
    <w:p>
      <w:pPr>
        <w:pStyle w:val="Heading2"/>
        <w:keepNext/>
      </w:pPr>
      <w:r>
        <w:t>6. Müşteri Kontrolü - Omnichannel</w:t>
      </w:r>
    </w:p>
    <w:p>
      <w:r>
        <w:t>Mağazadan alışveriş yapan müşterilerin iletişim bilgileri üzerinden e-ticaret hesaplarının olup olmadığı Global Customer Servisi üzerinden kontrol edilecektir. Bu kontrole göre single page application üzerinde login/register yönlendirmeleri yönetilecektir.</w:t>
      </w:r>
    </w:p>
    <w:p>
      <w:pPr>
        <w:pStyle w:val="Heading2"/>
        <w:keepNext/>
      </w:pPr>
      <w:r>
        <w:t>7. QR Oluşturma Servisi</w:t>
      </w:r>
    </w:p>
    <w:p>
      <w:r>
        <w:t>QR gösterimi yalnızca e-ticaret müşterileri için aktif olacaktır. Mağaza tarafında QR gösterimi yapılmayacaktır. Fulfillment ekibi tarafından e-arşiv geliştirmesi ve özel QR servisi geliştirilecektir. Fulfillment geliştirmelerinin Temmuz sonunda tamamlanması planlanmaktadır. Customer Engagement ekibi QR servisinin single page application içerisine entegrasyonunu yapacaktır.</w:t>
      </w:r>
    </w:p>
    <w:p>
      <w:pPr>
        <w:pStyle w:val="Heading2"/>
        <w:keepNext/>
      </w:pPr>
      <w:r>
        <w:t>8. Anket Geliştirmeleri</w:t>
      </w:r>
    </w:p>
    <w:p>
      <w:r>
        <w:t>Müşteri deneyimi anketi için gerekli geliştirmeler yapılacaktır. Bu kapsamda anketin single page web application üzerinde gösterilmesi, cevapların alınması, değerlendirilmesi ve gerekli kayıt/raporlama altyapısının oluşturulması hedeflenmektedir.</w:t>
      </w:r>
    </w:p>
    <w:p>
      <w:pPr>
        <w:pStyle w:val="Heading2"/>
        <w:keepNext/>
      </w:pPr>
      <w:r>
        <w:t>9. SMS Link Kısaltma ve SMS Gönderimi</w:t>
      </w:r>
    </w:p>
    <w:p>
      <w:r>
        <w:t>Müşteriye single page application linkinin SMS ile gönderilmesi için öncelikle link kısaltma servisinin implementasyonu yapılacaktır. Ardından SMS gönderim süreci geliştirilecektir. SMS içeriğinde müşteriyi sipariş sonrası deneyim sayfasına yönlendiren kısa link yer alacaktır.</w:t>
      </w:r>
    </w:p>
    <w:p>
      <w:pPr>
        <w:pStyle w:val="Heading1"/>
        <w:keepNext/>
      </w:pPr>
      <w:r>
        <w:t>Genel Akış</w:t>
      </w:r>
    </w:p>
    <w:p>
      <w:pPr>
        <w:pStyle w:val="ListNumber"/>
      </w:pPr>
      <w:r>
        <w:t>Müşteri e-ticaret veya mağaza üzerinden ürün satın alır.</w:t>
      </w:r>
    </w:p>
    <w:p>
      <w:pPr>
        <w:pStyle w:val="ListNumber"/>
      </w:pPr>
      <w:r>
        <w:t>Siparişin ilgili statüye gelmesiyle Kafka eventleri tüketilir.</w:t>
      </w:r>
    </w:p>
    <w:p>
      <w:pPr>
        <w:pStyle w:val="ListNumber"/>
      </w:pPr>
      <w:r>
        <w:t>Customer Engagement tarafında süreç başlatılır.</w:t>
      </w:r>
    </w:p>
    <w:p>
      <w:pPr>
        <w:pStyle w:val="ListNumber"/>
      </w:pPr>
      <w:r>
        <w:t>Sipariş detay servisi üzerinden sipariş ve ürün bilgileri alınır.</w:t>
      </w:r>
    </w:p>
    <w:p>
      <w:pPr>
        <w:pStyle w:val="ListNumber"/>
      </w:pPr>
      <w:r>
        <w:t>Müşteri e-ticaret hesabı durumu kontrol edilir.</w:t>
      </w:r>
    </w:p>
    <w:p>
      <w:pPr>
        <w:pStyle w:val="ListNumber"/>
      </w:pPr>
      <w:r>
        <w:t>Single page application linki oluşturulur.</w:t>
      </w:r>
    </w:p>
    <w:p>
      <w:pPr>
        <w:pStyle w:val="ListNumber"/>
      </w:pPr>
      <w:r>
        <w:t>Gerekirse link kısaltılır.</w:t>
      </w:r>
    </w:p>
    <w:p>
      <w:pPr>
        <w:pStyle w:val="ListNumber"/>
      </w:pPr>
      <w:r>
        <w:t>Müşteriye SMS gönderilir.</w:t>
      </w:r>
    </w:p>
    <w:p>
      <w:pPr>
        <w:pStyle w:val="ListNumber"/>
      </w:pPr>
      <w:r>
        <w:t>Müşteri linke tıklayarak sayfaya ulaşır.</w:t>
      </w:r>
    </w:p>
    <w:p>
      <w:pPr>
        <w:pStyle w:val="ListNumber"/>
      </w:pPr>
      <w:r>
        <w:t>Sayfada sipariş bilgileri, kombin önerileri, e-ticaret siparişleri için QR bilgisi ve anket gösterilir.</w:t>
      </w:r>
    </w:p>
    <w:p>
      <w:pPr>
        <w:pStyle w:val="Heading1"/>
        <w:keepNext/>
      </w:pPr>
      <w:r>
        <w:t>Planlama Notları</w:t>
      </w:r>
    </w:p>
    <w:p>
      <w:pPr>
        <w:pStyle w:val="ListBullet"/>
      </w:pPr>
      <w:r>
        <w:t>Link kısaltma ve SMS gönderimi geliştirmeleri, Fulfillment geliştirmeleri ve diğer geliştirme kalemleriyle paralel ilerleyebilir.</w:t>
      </w:r>
    </w:p>
    <w:p>
      <w:pPr>
        <w:pStyle w:val="ListBullet"/>
      </w:pPr>
      <w:r>
        <w:t>Fulfillment tarafındaki QR ve e-arşiv geliştirmelerinin Temmuz sonunda tamamlanması beklenmektedir.</w:t>
      </w:r>
    </w:p>
    <w:p>
      <w:pPr>
        <w:pStyle w:val="ListBullet"/>
      </w:pPr>
      <w:r>
        <w:t>Customer Engagement tarafındaki single page application, event tüketimi, sipariş detay entegrasyonu, kombin gösterimi, omnichannel müşteri kontrolü, anket ve SMS geliştirmeleri birbirine bağlı ancak kısmen paralel ilerletilebilir.</w:t>
      </w:r>
    </w:p>
    <w:p>
      <w:pPr>
        <w:pStyle w:val="ListBullet"/>
      </w:pPr>
      <w:r>
        <w:t>Uygulamanın dışarıya açılması süreci geliştirmeler devam ederken başlatılacaktır. Bu süreç zaman zaman uzayabildiği için net efor verilmemiştir.</w:t>
      </w:r>
    </w:p>
    <w:p>
      <w:pPr>
        <w:pStyle w:val="ListBullet"/>
      </w:pPr>
      <w:r>
        <w:t>Mobilestore ve backoffice tarafındaki ek geliştirmeler için ayrıca efor çalışması yapılacaktır.</w:t>
      </w:r>
    </w:p>
    <w:p>
      <w:pPr>
        <w:pStyle w:val="Heading1"/>
        <w:keepNext/>
      </w:pPr>
      <w:r>
        <w:t>Tahmini Efor Tablosu</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567"/>
            <w:vAlign w:val="center"/>
            <w:shd w:fill="1F4E79"/>
          </w:tcPr>
          <w:p>
            <w:pPr>
              <w:spacing w:after="40"/>
              <w:jc w:val="left"/>
            </w:pPr>
            <w:r>
              <w:rPr>
                <w:rFonts w:ascii="Arial" w:hAnsi="Arial" w:eastAsia="Arial"/>
              </w:rPr>
            </w:r>
            <w:r>
              <w:rPr>
                <w:rFonts w:ascii="Arial" w:hAnsi="Arial" w:eastAsia="Arial"/>
                <w:b/>
                <w:color w:val="FFFFFF"/>
                <w:sz w:val="16"/>
              </w:rPr>
              <w:t>No</w:t>
            </w:r>
          </w:p>
        </w:tc>
        <w:tc>
          <w:tcPr>
            <w:tcW w:type="dxa" w:w="5103"/>
            <w:vAlign w:val="center"/>
            <w:shd w:fill="1F4E79"/>
          </w:tcPr>
          <w:p>
            <w:pPr>
              <w:spacing w:after="40"/>
              <w:jc w:val="left"/>
            </w:pPr>
            <w:r>
              <w:rPr>
                <w:rFonts w:ascii="Arial" w:hAnsi="Arial" w:eastAsia="Arial"/>
              </w:rPr>
            </w:r>
            <w:r>
              <w:rPr>
                <w:rFonts w:ascii="Arial" w:hAnsi="Arial" w:eastAsia="Arial"/>
                <w:b/>
                <w:color w:val="FFFFFF"/>
                <w:sz w:val="16"/>
              </w:rPr>
              <w:t>İş Kalemi</w:t>
            </w:r>
          </w:p>
        </w:tc>
        <w:tc>
          <w:tcPr>
            <w:tcW w:type="dxa" w:w="2381"/>
            <w:vAlign w:val="center"/>
            <w:shd w:fill="1F4E79"/>
          </w:tcPr>
          <w:p>
            <w:pPr>
              <w:spacing w:after="40"/>
              <w:jc w:val="left"/>
            </w:pPr>
            <w:r>
              <w:rPr>
                <w:rFonts w:ascii="Arial" w:hAnsi="Arial" w:eastAsia="Arial"/>
              </w:rPr>
            </w:r>
            <w:r>
              <w:rPr>
                <w:rFonts w:ascii="Arial" w:hAnsi="Arial" w:eastAsia="Arial"/>
                <w:b/>
                <w:color w:val="FFFFFF"/>
                <w:sz w:val="16"/>
              </w:rPr>
              <w:t>Sorumlu Ekip</w:t>
            </w:r>
          </w:p>
        </w:tc>
        <w:tc>
          <w:tcPr>
            <w:tcW w:type="dxa" w:w="1474"/>
            <w:vAlign w:val="center"/>
            <w:shd w:fill="1F4E79"/>
          </w:tcPr>
          <w:p>
            <w:pPr>
              <w:spacing w:after="40"/>
              <w:jc w:val="left"/>
            </w:pPr>
            <w:r>
              <w:rPr>
                <w:rFonts w:ascii="Arial" w:hAnsi="Arial" w:eastAsia="Arial"/>
              </w:rPr>
            </w:r>
            <w:r>
              <w:rPr>
                <w:rFonts w:ascii="Arial" w:hAnsi="Arial" w:eastAsia="Arial"/>
                <w:b/>
                <w:color w:val="FFFFFF"/>
                <w:sz w:val="16"/>
              </w:rPr>
              <w:t>Tahmini Efor</w:t>
            </w:r>
          </w:p>
        </w:tc>
      </w:tr>
      <w:tr>
        <w:tc>
          <w:tcPr>
            <w:tcW w:type="dxa" w:w="567"/>
            <w:vAlign w:val="center"/>
          </w:tcPr>
          <w:p>
            <w:pPr>
              <w:spacing w:after="40"/>
              <w:jc w:val="left"/>
            </w:pPr>
            <w:r>
              <w:rPr>
                <w:rFonts w:ascii="Arial" w:hAnsi="Arial" w:eastAsia="Arial"/>
              </w:rPr>
            </w:r>
            <w:r>
              <w:rPr>
                <w:rFonts w:ascii="Arial" w:hAnsi="Arial" w:eastAsia="Arial"/>
                <w:b w:val="0"/>
                <w:sz w:val="16"/>
              </w:rPr>
              <w:t>1</w:t>
            </w:r>
          </w:p>
        </w:tc>
        <w:tc>
          <w:tcPr>
            <w:tcW w:type="dxa" w:w="5103"/>
            <w:vAlign w:val="center"/>
          </w:tcPr>
          <w:p>
            <w:pPr>
              <w:spacing w:after="40"/>
              <w:jc w:val="left"/>
            </w:pPr>
            <w:r>
              <w:rPr>
                <w:rFonts w:ascii="Arial" w:hAnsi="Arial" w:eastAsia="Arial"/>
              </w:rPr>
            </w:r>
            <w:r>
              <w:rPr>
                <w:rFonts w:ascii="Arial" w:hAnsi="Arial" w:eastAsia="Arial"/>
                <w:b w:val="0"/>
                <w:sz w:val="16"/>
              </w:rPr>
              <w:t>Single page web application tasarım, geliştirme ve BFF geliştirmeleri</w:t>
            </w:r>
          </w:p>
        </w:tc>
        <w:tc>
          <w:tcPr>
            <w:tcW w:type="dxa" w:w="2381"/>
            <w:vAlign w:val="center"/>
          </w:tcPr>
          <w:p>
            <w:pPr>
              <w:spacing w:after="40"/>
              <w:jc w:val="left"/>
            </w:pPr>
            <w:r>
              <w:rPr>
                <w:rFonts w:ascii="Arial" w:hAnsi="Arial" w:eastAsia="Arial"/>
              </w:rPr>
            </w:r>
            <w:r>
              <w:rPr>
                <w:rFonts w:ascii="Arial" w:hAnsi="Arial" w:eastAsia="Arial"/>
                <w:b w:val="0"/>
                <w:sz w:val="16"/>
              </w:rPr>
              <w:t>Customer Engagement</w:t>
            </w:r>
          </w:p>
        </w:tc>
        <w:tc>
          <w:tcPr>
            <w:tcW w:type="dxa" w:w="1474"/>
            <w:vAlign w:val="center"/>
          </w:tcPr>
          <w:p>
            <w:pPr>
              <w:spacing w:after="40"/>
              <w:jc w:val="left"/>
            </w:pPr>
            <w:r>
              <w:rPr>
                <w:rFonts w:ascii="Arial" w:hAnsi="Arial" w:eastAsia="Arial"/>
              </w:rPr>
            </w:r>
            <w:r>
              <w:rPr>
                <w:rFonts w:ascii="Arial" w:hAnsi="Arial" w:eastAsia="Arial"/>
                <w:b w:val="0"/>
                <w:sz w:val="16"/>
              </w:rPr>
              <w:t>4 adam/gün</w:t>
            </w:r>
          </w:p>
        </w:tc>
      </w:tr>
      <w:tr>
        <w:tc>
          <w:tcPr>
            <w:tcW w:type="dxa" w:w="567"/>
            <w:vAlign w:val="center"/>
            <w:shd w:fill="F2F6FA"/>
          </w:tcPr>
          <w:p>
            <w:pPr>
              <w:spacing w:after="40"/>
              <w:jc w:val="left"/>
            </w:pPr>
            <w:r>
              <w:rPr>
                <w:rFonts w:ascii="Arial" w:hAnsi="Arial" w:eastAsia="Arial"/>
              </w:rPr>
            </w:r>
            <w:r>
              <w:rPr>
                <w:rFonts w:ascii="Arial" w:hAnsi="Arial" w:eastAsia="Arial"/>
                <w:b w:val="0"/>
                <w:sz w:val="16"/>
              </w:rPr>
              <w:t>2</w:t>
            </w:r>
          </w:p>
        </w:tc>
        <w:tc>
          <w:tcPr>
            <w:tcW w:type="dxa" w:w="5103"/>
            <w:vAlign w:val="center"/>
            <w:shd w:fill="F2F6FA"/>
          </w:tcPr>
          <w:p>
            <w:pPr>
              <w:spacing w:after="40"/>
              <w:jc w:val="left"/>
            </w:pPr>
            <w:r>
              <w:rPr>
                <w:rFonts w:ascii="Arial" w:hAnsi="Arial" w:eastAsia="Arial"/>
              </w:rPr>
            </w:r>
            <w:r>
              <w:rPr>
                <w:rFonts w:ascii="Arial" w:hAnsi="Arial" w:eastAsia="Arial"/>
                <w:b w:val="0"/>
                <w:sz w:val="16"/>
              </w:rPr>
              <w:t>Uygulamanın dışarıya açılması için gerekli süreçlerin ilerletilmesi</w:t>
            </w:r>
          </w:p>
        </w:tc>
        <w:tc>
          <w:tcPr>
            <w:tcW w:type="dxa" w:w="2381"/>
            <w:vAlign w:val="center"/>
            <w:shd w:fill="F2F6FA"/>
          </w:tcPr>
          <w:p>
            <w:pPr>
              <w:spacing w:after="40"/>
              <w:jc w:val="left"/>
            </w:pPr>
            <w:r>
              <w:rPr>
                <w:rFonts w:ascii="Arial" w:hAnsi="Arial" w:eastAsia="Arial"/>
              </w:rPr>
            </w:r>
            <w:r>
              <w:rPr>
                <w:rFonts w:ascii="Arial" w:hAnsi="Arial" w:eastAsia="Arial"/>
                <w:b w:val="0"/>
                <w:sz w:val="16"/>
              </w:rPr>
              <w:t>Customer Engagement / İlgili altyapı ekipleri</w:t>
            </w:r>
          </w:p>
        </w:tc>
        <w:tc>
          <w:tcPr>
            <w:tcW w:type="dxa" w:w="1474"/>
            <w:vAlign w:val="center"/>
            <w:shd w:fill="F2F6FA"/>
          </w:tcPr>
          <w:p>
            <w:pPr>
              <w:spacing w:after="40"/>
              <w:jc w:val="left"/>
            </w:pPr>
            <w:r>
              <w:rPr>
                <w:rFonts w:ascii="Arial" w:hAnsi="Arial" w:eastAsia="Arial"/>
              </w:rPr>
            </w:r>
            <w:r>
              <w:rPr>
                <w:rFonts w:ascii="Arial" w:hAnsi="Arial" w:eastAsia="Arial"/>
                <w:b w:val="0"/>
                <w:sz w:val="16"/>
              </w:rPr>
              <w:t>Net efor verilemedi</w:t>
            </w:r>
          </w:p>
        </w:tc>
      </w:tr>
      <w:tr>
        <w:tc>
          <w:tcPr>
            <w:tcW w:type="dxa" w:w="567"/>
            <w:vAlign w:val="center"/>
          </w:tcPr>
          <w:p>
            <w:pPr>
              <w:spacing w:after="40"/>
              <w:jc w:val="left"/>
            </w:pPr>
            <w:r>
              <w:rPr>
                <w:rFonts w:ascii="Arial" w:hAnsi="Arial" w:eastAsia="Arial"/>
              </w:rPr>
            </w:r>
            <w:r>
              <w:rPr>
                <w:rFonts w:ascii="Arial" w:hAnsi="Arial" w:eastAsia="Arial"/>
                <w:b w:val="0"/>
                <w:sz w:val="16"/>
              </w:rPr>
              <w:t>3</w:t>
            </w:r>
          </w:p>
        </w:tc>
        <w:tc>
          <w:tcPr>
            <w:tcW w:type="dxa" w:w="5103"/>
            <w:vAlign w:val="center"/>
          </w:tcPr>
          <w:p>
            <w:pPr>
              <w:spacing w:after="40"/>
              <w:jc w:val="left"/>
            </w:pPr>
            <w:r>
              <w:rPr>
                <w:rFonts w:ascii="Arial" w:hAnsi="Arial" w:eastAsia="Arial"/>
              </w:rPr>
            </w:r>
            <w:r>
              <w:rPr>
                <w:rFonts w:ascii="Arial" w:hAnsi="Arial" w:eastAsia="Arial"/>
                <w:b w:val="0"/>
                <w:sz w:val="16"/>
              </w:rPr>
              <w:t>E-ticaret “teslim edildi” Kafka eventinin tüketilmesi ve sürecin başlatılması</w:t>
            </w:r>
          </w:p>
        </w:tc>
        <w:tc>
          <w:tcPr>
            <w:tcW w:type="dxa" w:w="2381"/>
            <w:vAlign w:val="center"/>
          </w:tcPr>
          <w:p>
            <w:pPr>
              <w:spacing w:after="40"/>
              <w:jc w:val="left"/>
            </w:pPr>
            <w:r>
              <w:rPr>
                <w:rFonts w:ascii="Arial" w:hAnsi="Arial" w:eastAsia="Arial"/>
              </w:rPr>
            </w:r>
            <w:r>
              <w:rPr>
                <w:rFonts w:ascii="Arial" w:hAnsi="Arial" w:eastAsia="Arial"/>
                <w:b w:val="0"/>
                <w:sz w:val="16"/>
              </w:rPr>
              <w:t>Customer Engagement</w:t>
            </w:r>
          </w:p>
        </w:tc>
        <w:tc>
          <w:tcPr>
            <w:tcW w:type="dxa" w:w="1474"/>
            <w:vAlign w:val="center"/>
          </w:tcPr>
          <w:p>
            <w:pPr>
              <w:spacing w:after="40"/>
              <w:jc w:val="left"/>
            </w:pPr>
            <w:r>
              <w:rPr>
                <w:rFonts w:ascii="Arial" w:hAnsi="Arial" w:eastAsia="Arial"/>
              </w:rPr>
            </w:r>
            <w:r>
              <w:rPr>
                <w:rFonts w:ascii="Arial" w:hAnsi="Arial" w:eastAsia="Arial"/>
                <w:b w:val="0"/>
                <w:sz w:val="16"/>
              </w:rPr>
              <w:t>4 adam/gün</w:t>
            </w:r>
          </w:p>
        </w:tc>
      </w:tr>
      <w:tr>
        <w:tc>
          <w:tcPr>
            <w:tcW w:type="dxa" w:w="567"/>
            <w:vAlign w:val="center"/>
            <w:shd w:fill="F2F6FA"/>
          </w:tcPr>
          <w:p>
            <w:pPr>
              <w:spacing w:after="40"/>
              <w:jc w:val="left"/>
            </w:pPr>
            <w:r>
              <w:rPr>
                <w:rFonts w:ascii="Arial" w:hAnsi="Arial" w:eastAsia="Arial"/>
              </w:rPr>
            </w:r>
            <w:r>
              <w:rPr>
                <w:rFonts w:ascii="Arial" w:hAnsi="Arial" w:eastAsia="Arial"/>
                <w:b w:val="0"/>
                <w:sz w:val="16"/>
              </w:rPr>
              <w:t>4</w:t>
            </w:r>
          </w:p>
        </w:tc>
        <w:tc>
          <w:tcPr>
            <w:tcW w:type="dxa" w:w="5103"/>
            <w:vAlign w:val="center"/>
            <w:shd w:fill="F2F6FA"/>
          </w:tcPr>
          <w:p>
            <w:pPr>
              <w:spacing w:after="40"/>
              <w:jc w:val="left"/>
            </w:pPr>
            <w:r>
              <w:rPr>
                <w:rFonts w:ascii="Arial" w:hAnsi="Arial" w:eastAsia="Arial"/>
              </w:rPr>
            </w:r>
            <w:r>
              <w:rPr>
                <w:rFonts w:ascii="Arial" w:hAnsi="Arial" w:eastAsia="Arial"/>
                <w:b w:val="0"/>
                <w:sz w:val="16"/>
              </w:rPr>
              <w:t>Kombin gösterimi için implementasyon ve sayfa geliştirmeleri</w:t>
            </w:r>
          </w:p>
        </w:tc>
        <w:tc>
          <w:tcPr>
            <w:tcW w:type="dxa" w:w="2381"/>
            <w:vAlign w:val="center"/>
            <w:shd w:fill="F2F6FA"/>
          </w:tcPr>
          <w:p>
            <w:pPr>
              <w:spacing w:after="40"/>
              <w:jc w:val="left"/>
            </w:pPr>
            <w:r>
              <w:rPr>
                <w:rFonts w:ascii="Arial" w:hAnsi="Arial" w:eastAsia="Arial"/>
              </w:rPr>
            </w:r>
            <w:r>
              <w:rPr>
                <w:rFonts w:ascii="Arial" w:hAnsi="Arial" w:eastAsia="Arial"/>
                <w:b w:val="0"/>
                <w:sz w:val="16"/>
              </w:rPr>
              <w:t>Customer Engagement</w:t>
            </w:r>
          </w:p>
        </w:tc>
        <w:tc>
          <w:tcPr>
            <w:tcW w:type="dxa" w:w="1474"/>
            <w:vAlign w:val="center"/>
            <w:shd w:fill="F2F6FA"/>
          </w:tcPr>
          <w:p>
            <w:pPr>
              <w:spacing w:after="40"/>
              <w:jc w:val="left"/>
            </w:pPr>
            <w:r>
              <w:rPr>
                <w:rFonts w:ascii="Arial" w:hAnsi="Arial" w:eastAsia="Arial"/>
              </w:rPr>
            </w:r>
            <w:r>
              <w:rPr>
                <w:rFonts w:ascii="Arial" w:hAnsi="Arial" w:eastAsia="Arial"/>
                <w:b w:val="0"/>
                <w:sz w:val="16"/>
              </w:rPr>
              <w:t>4 adam/gün</w:t>
            </w:r>
          </w:p>
        </w:tc>
      </w:tr>
      <w:tr>
        <w:tc>
          <w:tcPr>
            <w:tcW w:type="dxa" w:w="567"/>
            <w:vAlign w:val="center"/>
          </w:tcPr>
          <w:p>
            <w:pPr>
              <w:spacing w:after="40"/>
              <w:jc w:val="left"/>
            </w:pPr>
            <w:r>
              <w:rPr>
                <w:rFonts w:ascii="Arial" w:hAnsi="Arial" w:eastAsia="Arial"/>
              </w:rPr>
            </w:r>
            <w:r>
              <w:rPr>
                <w:rFonts w:ascii="Arial" w:hAnsi="Arial" w:eastAsia="Arial"/>
                <w:b w:val="0"/>
                <w:sz w:val="16"/>
              </w:rPr>
              <w:t>5</w:t>
            </w:r>
          </w:p>
        </w:tc>
        <w:tc>
          <w:tcPr>
            <w:tcW w:type="dxa" w:w="5103"/>
            <w:vAlign w:val="center"/>
          </w:tcPr>
          <w:p>
            <w:pPr>
              <w:spacing w:after="40"/>
              <w:jc w:val="left"/>
            </w:pPr>
            <w:r>
              <w:rPr>
                <w:rFonts w:ascii="Arial" w:hAnsi="Arial" w:eastAsia="Arial"/>
              </w:rPr>
            </w:r>
            <w:r>
              <w:rPr>
                <w:rFonts w:ascii="Arial" w:hAnsi="Arial" w:eastAsia="Arial"/>
                <w:b w:val="0"/>
                <w:sz w:val="16"/>
              </w:rPr>
              <w:t>Sipariş detay servisinin single page application içerisine entegrasyonu</w:t>
            </w:r>
          </w:p>
        </w:tc>
        <w:tc>
          <w:tcPr>
            <w:tcW w:type="dxa" w:w="2381"/>
            <w:vAlign w:val="center"/>
          </w:tcPr>
          <w:p>
            <w:pPr>
              <w:spacing w:after="40"/>
              <w:jc w:val="left"/>
            </w:pPr>
            <w:r>
              <w:rPr>
                <w:rFonts w:ascii="Arial" w:hAnsi="Arial" w:eastAsia="Arial"/>
              </w:rPr>
            </w:r>
            <w:r>
              <w:rPr>
                <w:rFonts w:ascii="Arial" w:hAnsi="Arial" w:eastAsia="Arial"/>
                <w:b w:val="0"/>
                <w:sz w:val="16"/>
              </w:rPr>
              <w:t>Customer Engagement</w:t>
            </w:r>
          </w:p>
        </w:tc>
        <w:tc>
          <w:tcPr>
            <w:tcW w:type="dxa" w:w="1474"/>
            <w:vAlign w:val="center"/>
          </w:tcPr>
          <w:p>
            <w:pPr>
              <w:spacing w:after="40"/>
              <w:jc w:val="left"/>
            </w:pPr>
            <w:r>
              <w:rPr>
                <w:rFonts w:ascii="Arial" w:hAnsi="Arial" w:eastAsia="Arial"/>
              </w:rPr>
            </w:r>
            <w:r>
              <w:rPr>
                <w:rFonts w:ascii="Arial" w:hAnsi="Arial" w:eastAsia="Arial"/>
                <w:b w:val="0"/>
                <w:sz w:val="16"/>
              </w:rPr>
              <w:t>3 adam/gün</w:t>
            </w:r>
          </w:p>
        </w:tc>
      </w:tr>
      <w:tr>
        <w:tc>
          <w:tcPr>
            <w:tcW w:type="dxa" w:w="567"/>
            <w:vAlign w:val="center"/>
            <w:shd w:fill="F2F6FA"/>
          </w:tcPr>
          <w:p>
            <w:pPr>
              <w:spacing w:after="40"/>
              <w:jc w:val="left"/>
            </w:pPr>
            <w:r>
              <w:rPr>
                <w:rFonts w:ascii="Arial" w:hAnsi="Arial" w:eastAsia="Arial"/>
              </w:rPr>
            </w:r>
            <w:r>
              <w:rPr>
                <w:rFonts w:ascii="Arial" w:hAnsi="Arial" w:eastAsia="Arial"/>
                <w:b w:val="0"/>
                <w:sz w:val="16"/>
              </w:rPr>
              <w:t>6</w:t>
            </w:r>
          </w:p>
        </w:tc>
        <w:tc>
          <w:tcPr>
            <w:tcW w:type="dxa" w:w="5103"/>
            <w:vAlign w:val="center"/>
            <w:shd w:fill="F2F6FA"/>
          </w:tcPr>
          <w:p>
            <w:pPr>
              <w:spacing w:after="40"/>
              <w:jc w:val="left"/>
            </w:pPr>
            <w:r>
              <w:rPr>
                <w:rFonts w:ascii="Arial" w:hAnsi="Arial" w:eastAsia="Arial"/>
              </w:rPr>
            </w:r>
            <w:r>
              <w:rPr>
                <w:rFonts w:ascii="Arial" w:hAnsi="Arial" w:eastAsia="Arial"/>
                <w:b w:val="0"/>
                <w:sz w:val="16"/>
              </w:rPr>
              <w:t>Mağaza satış eventlerinin Kafka üzerinden tüketilmesi</w:t>
            </w:r>
          </w:p>
        </w:tc>
        <w:tc>
          <w:tcPr>
            <w:tcW w:type="dxa" w:w="2381"/>
            <w:vAlign w:val="center"/>
            <w:shd w:fill="F2F6FA"/>
          </w:tcPr>
          <w:p>
            <w:pPr>
              <w:spacing w:after="40"/>
              <w:jc w:val="left"/>
            </w:pPr>
            <w:r>
              <w:rPr>
                <w:rFonts w:ascii="Arial" w:hAnsi="Arial" w:eastAsia="Arial"/>
              </w:rPr>
            </w:r>
            <w:r>
              <w:rPr>
                <w:rFonts w:ascii="Arial" w:hAnsi="Arial" w:eastAsia="Arial"/>
                <w:b w:val="0"/>
                <w:sz w:val="16"/>
              </w:rPr>
              <w:t>Customer Engagement</w:t>
            </w:r>
          </w:p>
        </w:tc>
        <w:tc>
          <w:tcPr>
            <w:tcW w:type="dxa" w:w="1474"/>
            <w:vAlign w:val="center"/>
            <w:shd w:fill="F2F6FA"/>
          </w:tcPr>
          <w:p>
            <w:pPr>
              <w:spacing w:after="40"/>
              <w:jc w:val="left"/>
            </w:pPr>
            <w:r>
              <w:rPr>
                <w:rFonts w:ascii="Arial" w:hAnsi="Arial" w:eastAsia="Arial"/>
              </w:rPr>
            </w:r>
            <w:r>
              <w:rPr>
                <w:rFonts w:ascii="Arial" w:hAnsi="Arial" w:eastAsia="Arial"/>
                <w:b w:val="0"/>
                <w:sz w:val="16"/>
              </w:rPr>
              <w:t>4 adam/gün</w:t>
            </w:r>
          </w:p>
        </w:tc>
      </w:tr>
      <w:tr>
        <w:tc>
          <w:tcPr>
            <w:tcW w:type="dxa" w:w="567"/>
            <w:vAlign w:val="center"/>
          </w:tcPr>
          <w:p>
            <w:pPr>
              <w:spacing w:after="40"/>
              <w:jc w:val="left"/>
            </w:pPr>
            <w:r>
              <w:rPr>
                <w:rFonts w:ascii="Arial" w:hAnsi="Arial" w:eastAsia="Arial"/>
              </w:rPr>
            </w:r>
            <w:r>
              <w:rPr>
                <w:rFonts w:ascii="Arial" w:hAnsi="Arial" w:eastAsia="Arial"/>
                <w:b w:val="0"/>
                <w:sz w:val="16"/>
              </w:rPr>
              <w:t>7</w:t>
            </w:r>
          </w:p>
        </w:tc>
        <w:tc>
          <w:tcPr>
            <w:tcW w:type="dxa" w:w="5103"/>
            <w:vAlign w:val="center"/>
          </w:tcPr>
          <w:p>
            <w:pPr>
              <w:spacing w:after="40"/>
              <w:jc w:val="left"/>
            </w:pPr>
            <w:r>
              <w:rPr>
                <w:rFonts w:ascii="Arial" w:hAnsi="Arial" w:eastAsia="Arial"/>
              </w:rPr>
            </w:r>
            <w:r>
              <w:rPr>
                <w:rFonts w:ascii="Arial" w:hAnsi="Arial" w:eastAsia="Arial"/>
                <w:b w:val="0"/>
                <w:sz w:val="16"/>
              </w:rPr>
              <w:t>Omnichannel müşteri kontrolü ve login/register butonlarının yönetimi</w:t>
            </w:r>
          </w:p>
        </w:tc>
        <w:tc>
          <w:tcPr>
            <w:tcW w:type="dxa" w:w="2381"/>
            <w:vAlign w:val="center"/>
          </w:tcPr>
          <w:p>
            <w:pPr>
              <w:spacing w:after="40"/>
              <w:jc w:val="left"/>
            </w:pPr>
            <w:r>
              <w:rPr>
                <w:rFonts w:ascii="Arial" w:hAnsi="Arial" w:eastAsia="Arial"/>
              </w:rPr>
            </w:r>
            <w:r>
              <w:rPr>
                <w:rFonts w:ascii="Arial" w:hAnsi="Arial" w:eastAsia="Arial"/>
                <w:b w:val="0"/>
                <w:sz w:val="16"/>
              </w:rPr>
              <w:t>Customer Engagement</w:t>
            </w:r>
          </w:p>
        </w:tc>
        <w:tc>
          <w:tcPr>
            <w:tcW w:type="dxa" w:w="1474"/>
            <w:vAlign w:val="center"/>
          </w:tcPr>
          <w:p>
            <w:pPr>
              <w:spacing w:after="40"/>
              <w:jc w:val="left"/>
            </w:pPr>
            <w:r>
              <w:rPr>
                <w:rFonts w:ascii="Arial" w:hAnsi="Arial" w:eastAsia="Arial"/>
              </w:rPr>
            </w:r>
            <w:r>
              <w:rPr>
                <w:rFonts w:ascii="Arial" w:hAnsi="Arial" w:eastAsia="Arial"/>
                <w:b w:val="0"/>
                <w:sz w:val="16"/>
              </w:rPr>
              <w:t>2 adam/gün</w:t>
            </w:r>
          </w:p>
        </w:tc>
      </w:tr>
      <w:tr>
        <w:tc>
          <w:tcPr>
            <w:tcW w:type="dxa" w:w="567"/>
            <w:vAlign w:val="center"/>
            <w:shd w:fill="F2F6FA"/>
          </w:tcPr>
          <w:p>
            <w:pPr>
              <w:spacing w:after="40"/>
              <w:jc w:val="left"/>
            </w:pPr>
            <w:r>
              <w:rPr>
                <w:rFonts w:ascii="Arial" w:hAnsi="Arial" w:eastAsia="Arial"/>
              </w:rPr>
            </w:r>
            <w:r>
              <w:rPr>
                <w:rFonts w:ascii="Arial" w:hAnsi="Arial" w:eastAsia="Arial"/>
                <w:b w:val="0"/>
                <w:sz w:val="16"/>
              </w:rPr>
              <w:t>8</w:t>
            </w:r>
          </w:p>
        </w:tc>
        <w:tc>
          <w:tcPr>
            <w:tcW w:type="dxa" w:w="5103"/>
            <w:vAlign w:val="center"/>
            <w:shd w:fill="F2F6FA"/>
          </w:tcPr>
          <w:p>
            <w:pPr>
              <w:spacing w:after="40"/>
              <w:jc w:val="left"/>
            </w:pPr>
            <w:r>
              <w:rPr>
                <w:rFonts w:ascii="Arial" w:hAnsi="Arial" w:eastAsia="Arial"/>
              </w:rPr>
            </w:r>
            <w:r>
              <w:rPr>
                <w:rFonts w:ascii="Arial" w:hAnsi="Arial" w:eastAsia="Arial"/>
                <w:b w:val="0"/>
                <w:sz w:val="16"/>
              </w:rPr>
              <w:t>E-arşiv ve özel QR servisi geliştirmeleri</w:t>
            </w:r>
          </w:p>
        </w:tc>
        <w:tc>
          <w:tcPr>
            <w:tcW w:type="dxa" w:w="2381"/>
            <w:vAlign w:val="center"/>
            <w:shd w:fill="F2F6FA"/>
          </w:tcPr>
          <w:p>
            <w:pPr>
              <w:spacing w:after="40"/>
              <w:jc w:val="left"/>
            </w:pPr>
            <w:r>
              <w:rPr>
                <w:rFonts w:ascii="Arial" w:hAnsi="Arial" w:eastAsia="Arial"/>
              </w:rPr>
            </w:r>
            <w:r>
              <w:rPr>
                <w:rFonts w:ascii="Arial" w:hAnsi="Arial" w:eastAsia="Arial"/>
                <w:b w:val="0"/>
                <w:sz w:val="16"/>
              </w:rPr>
              <w:t>Fulfillment</w:t>
            </w:r>
          </w:p>
        </w:tc>
        <w:tc>
          <w:tcPr>
            <w:tcW w:type="dxa" w:w="1474"/>
            <w:vAlign w:val="center"/>
            <w:shd w:fill="F2F6FA"/>
          </w:tcPr>
          <w:p>
            <w:pPr>
              <w:spacing w:after="40"/>
              <w:jc w:val="left"/>
            </w:pPr>
            <w:r>
              <w:rPr>
                <w:rFonts w:ascii="Arial" w:hAnsi="Arial" w:eastAsia="Arial"/>
              </w:rPr>
            </w:r>
            <w:r>
              <w:rPr>
                <w:rFonts w:ascii="Arial" w:hAnsi="Arial" w:eastAsia="Arial"/>
                <w:b w:val="0"/>
                <w:sz w:val="16"/>
              </w:rPr>
              <w:t>10 adam/gün</w:t>
            </w:r>
          </w:p>
        </w:tc>
      </w:tr>
      <w:tr>
        <w:tc>
          <w:tcPr>
            <w:tcW w:type="dxa" w:w="567"/>
            <w:vAlign w:val="center"/>
          </w:tcPr>
          <w:p>
            <w:pPr>
              <w:spacing w:after="40"/>
              <w:jc w:val="left"/>
            </w:pPr>
            <w:r>
              <w:rPr>
                <w:rFonts w:ascii="Arial" w:hAnsi="Arial" w:eastAsia="Arial"/>
              </w:rPr>
            </w:r>
            <w:r>
              <w:rPr>
                <w:rFonts w:ascii="Arial" w:hAnsi="Arial" w:eastAsia="Arial"/>
                <w:b w:val="0"/>
                <w:sz w:val="16"/>
              </w:rPr>
              <w:t>9</w:t>
            </w:r>
          </w:p>
        </w:tc>
        <w:tc>
          <w:tcPr>
            <w:tcW w:type="dxa" w:w="5103"/>
            <w:vAlign w:val="center"/>
          </w:tcPr>
          <w:p>
            <w:pPr>
              <w:spacing w:after="40"/>
              <w:jc w:val="left"/>
            </w:pPr>
            <w:r>
              <w:rPr>
                <w:rFonts w:ascii="Arial" w:hAnsi="Arial" w:eastAsia="Arial"/>
              </w:rPr>
            </w:r>
            <w:r>
              <w:rPr>
                <w:rFonts w:ascii="Arial" w:hAnsi="Arial" w:eastAsia="Arial"/>
                <w:b w:val="0"/>
                <w:sz w:val="16"/>
              </w:rPr>
              <w:t>QR servisinin single page application entegrasyonu</w:t>
            </w:r>
          </w:p>
        </w:tc>
        <w:tc>
          <w:tcPr>
            <w:tcW w:type="dxa" w:w="2381"/>
            <w:vAlign w:val="center"/>
          </w:tcPr>
          <w:p>
            <w:pPr>
              <w:spacing w:after="40"/>
              <w:jc w:val="left"/>
            </w:pPr>
            <w:r>
              <w:rPr>
                <w:rFonts w:ascii="Arial" w:hAnsi="Arial" w:eastAsia="Arial"/>
              </w:rPr>
            </w:r>
            <w:r>
              <w:rPr>
                <w:rFonts w:ascii="Arial" w:hAnsi="Arial" w:eastAsia="Arial"/>
                <w:b w:val="0"/>
                <w:sz w:val="16"/>
              </w:rPr>
              <w:t>Customer Engagement</w:t>
            </w:r>
          </w:p>
        </w:tc>
        <w:tc>
          <w:tcPr>
            <w:tcW w:type="dxa" w:w="1474"/>
            <w:vAlign w:val="center"/>
          </w:tcPr>
          <w:p>
            <w:pPr>
              <w:spacing w:after="40"/>
              <w:jc w:val="left"/>
            </w:pPr>
            <w:r>
              <w:rPr>
                <w:rFonts w:ascii="Arial" w:hAnsi="Arial" w:eastAsia="Arial"/>
              </w:rPr>
            </w:r>
            <w:r>
              <w:rPr>
                <w:rFonts w:ascii="Arial" w:hAnsi="Arial" w:eastAsia="Arial"/>
                <w:b w:val="0"/>
                <w:sz w:val="16"/>
              </w:rPr>
              <w:t>3 adam/gün</w:t>
            </w:r>
          </w:p>
        </w:tc>
      </w:tr>
      <w:tr>
        <w:tc>
          <w:tcPr>
            <w:tcW w:type="dxa" w:w="567"/>
            <w:vAlign w:val="center"/>
            <w:shd w:fill="F2F6FA"/>
          </w:tcPr>
          <w:p>
            <w:pPr>
              <w:spacing w:after="40"/>
              <w:jc w:val="left"/>
            </w:pPr>
            <w:r>
              <w:rPr>
                <w:rFonts w:ascii="Arial" w:hAnsi="Arial" w:eastAsia="Arial"/>
              </w:rPr>
            </w:r>
            <w:r>
              <w:rPr>
                <w:rFonts w:ascii="Arial" w:hAnsi="Arial" w:eastAsia="Arial"/>
                <w:b w:val="0"/>
                <w:sz w:val="16"/>
              </w:rPr>
              <w:t>10</w:t>
            </w:r>
          </w:p>
        </w:tc>
        <w:tc>
          <w:tcPr>
            <w:tcW w:type="dxa" w:w="5103"/>
            <w:vAlign w:val="center"/>
            <w:shd w:fill="F2F6FA"/>
          </w:tcPr>
          <w:p>
            <w:pPr>
              <w:spacing w:after="40"/>
              <w:jc w:val="left"/>
            </w:pPr>
            <w:r>
              <w:rPr>
                <w:rFonts w:ascii="Arial" w:hAnsi="Arial" w:eastAsia="Arial"/>
              </w:rPr>
            </w:r>
            <w:r>
              <w:rPr>
                <w:rFonts w:ascii="Arial" w:hAnsi="Arial" w:eastAsia="Arial"/>
                <w:b w:val="0"/>
                <w:sz w:val="16"/>
              </w:rPr>
              <w:t>Mobilestore ve backoffice ek geliştirmeleri</w:t>
            </w:r>
          </w:p>
        </w:tc>
        <w:tc>
          <w:tcPr>
            <w:tcW w:type="dxa" w:w="2381"/>
            <w:vAlign w:val="center"/>
            <w:shd w:fill="F2F6FA"/>
          </w:tcPr>
          <w:p>
            <w:pPr>
              <w:spacing w:after="40"/>
              <w:jc w:val="left"/>
            </w:pPr>
            <w:r>
              <w:rPr>
                <w:rFonts w:ascii="Arial" w:hAnsi="Arial" w:eastAsia="Arial"/>
              </w:rPr>
            </w:r>
            <w:r>
              <w:rPr>
                <w:rFonts w:ascii="Arial" w:hAnsi="Arial" w:eastAsia="Arial"/>
                <w:b w:val="0"/>
                <w:sz w:val="16"/>
              </w:rPr>
              <w:t>İlgili ekipler</w:t>
            </w:r>
          </w:p>
        </w:tc>
        <w:tc>
          <w:tcPr>
            <w:tcW w:type="dxa" w:w="1474"/>
            <w:vAlign w:val="center"/>
            <w:shd w:fill="F2F6FA"/>
          </w:tcPr>
          <w:p>
            <w:pPr>
              <w:spacing w:after="40"/>
              <w:jc w:val="left"/>
            </w:pPr>
            <w:r>
              <w:rPr>
                <w:rFonts w:ascii="Arial" w:hAnsi="Arial" w:eastAsia="Arial"/>
              </w:rPr>
            </w:r>
            <w:r>
              <w:rPr>
                <w:rFonts w:ascii="Arial" w:hAnsi="Arial" w:eastAsia="Arial"/>
                <w:b w:val="0"/>
                <w:sz w:val="16"/>
              </w:rPr>
              <w:t>Efor çalışılacak</w:t>
            </w:r>
          </w:p>
        </w:tc>
      </w:tr>
      <w:tr>
        <w:tc>
          <w:tcPr>
            <w:tcW w:type="dxa" w:w="567"/>
            <w:vAlign w:val="center"/>
          </w:tcPr>
          <w:p>
            <w:pPr>
              <w:spacing w:after="40"/>
              <w:jc w:val="left"/>
            </w:pPr>
            <w:r>
              <w:rPr>
                <w:rFonts w:ascii="Arial" w:hAnsi="Arial" w:eastAsia="Arial"/>
              </w:rPr>
            </w:r>
            <w:r>
              <w:rPr>
                <w:rFonts w:ascii="Arial" w:hAnsi="Arial" w:eastAsia="Arial"/>
                <w:b w:val="0"/>
                <w:sz w:val="16"/>
              </w:rPr>
              <w:t>11</w:t>
            </w:r>
          </w:p>
        </w:tc>
        <w:tc>
          <w:tcPr>
            <w:tcW w:type="dxa" w:w="5103"/>
            <w:vAlign w:val="center"/>
          </w:tcPr>
          <w:p>
            <w:pPr>
              <w:spacing w:after="40"/>
              <w:jc w:val="left"/>
            </w:pPr>
            <w:r>
              <w:rPr>
                <w:rFonts w:ascii="Arial" w:hAnsi="Arial" w:eastAsia="Arial"/>
              </w:rPr>
            </w:r>
            <w:r>
              <w:rPr>
                <w:rFonts w:ascii="Arial" w:hAnsi="Arial" w:eastAsia="Arial"/>
                <w:b w:val="0"/>
                <w:sz w:val="16"/>
              </w:rPr>
              <w:t>Anket geliştirmeleri, single page application gösterimi ve cevapların değerlendirilmesi</w:t>
            </w:r>
          </w:p>
        </w:tc>
        <w:tc>
          <w:tcPr>
            <w:tcW w:type="dxa" w:w="2381"/>
            <w:vAlign w:val="center"/>
          </w:tcPr>
          <w:p>
            <w:pPr>
              <w:spacing w:after="40"/>
              <w:jc w:val="left"/>
            </w:pPr>
            <w:r>
              <w:rPr>
                <w:rFonts w:ascii="Arial" w:hAnsi="Arial" w:eastAsia="Arial"/>
              </w:rPr>
            </w:r>
            <w:r>
              <w:rPr>
                <w:rFonts w:ascii="Arial" w:hAnsi="Arial" w:eastAsia="Arial"/>
                <w:b w:val="0"/>
                <w:sz w:val="16"/>
              </w:rPr>
              <w:t>Customer Engagement</w:t>
            </w:r>
          </w:p>
        </w:tc>
        <w:tc>
          <w:tcPr>
            <w:tcW w:type="dxa" w:w="1474"/>
            <w:vAlign w:val="center"/>
          </w:tcPr>
          <w:p>
            <w:pPr>
              <w:spacing w:after="40"/>
              <w:jc w:val="left"/>
            </w:pPr>
            <w:r>
              <w:rPr>
                <w:rFonts w:ascii="Arial" w:hAnsi="Arial" w:eastAsia="Arial"/>
              </w:rPr>
            </w:r>
            <w:r>
              <w:rPr>
                <w:rFonts w:ascii="Arial" w:hAnsi="Arial" w:eastAsia="Arial"/>
                <w:b w:val="0"/>
                <w:sz w:val="16"/>
              </w:rPr>
              <w:t>8 adam/gün</w:t>
            </w:r>
          </w:p>
        </w:tc>
      </w:tr>
      <w:tr>
        <w:tc>
          <w:tcPr>
            <w:tcW w:type="dxa" w:w="567"/>
            <w:vAlign w:val="center"/>
            <w:shd w:fill="F2F6FA"/>
          </w:tcPr>
          <w:p>
            <w:pPr>
              <w:spacing w:after="40"/>
              <w:jc w:val="left"/>
            </w:pPr>
            <w:r>
              <w:rPr>
                <w:rFonts w:ascii="Arial" w:hAnsi="Arial" w:eastAsia="Arial"/>
              </w:rPr>
            </w:r>
            <w:r>
              <w:rPr>
                <w:rFonts w:ascii="Arial" w:hAnsi="Arial" w:eastAsia="Arial"/>
                <w:b w:val="0"/>
                <w:sz w:val="16"/>
              </w:rPr>
              <w:t>12</w:t>
            </w:r>
          </w:p>
        </w:tc>
        <w:tc>
          <w:tcPr>
            <w:tcW w:type="dxa" w:w="5103"/>
            <w:vAlign w:val="center"/>
            <w:shd w:fill="F2F6FA"/>
          </w:tcPr>
          <w:p>
            <w:pPr>
              <w:spacing w:after="40"/>
              <w:jc w:val="left"/>
            </w:pPr>
            <w:r>
              <w:rPr>
                <w:rFonts w:ascii="Arial" w:hAnsi="Arial" w:eastAsia="Arial"/>
              </w:rPr>
            </w:r>
            <w:r>
              <w:rPr>
                <w:rFonts w:ascii="Arial" w:hAnsi="Arial" w:eastAsia="Arial"/>
                <w:b w:val="0"/>
                <w:sz w:val="16"/>
              </w:rPr>
              <w:t>Link kısaltma servisi implementasyonu</w:t>
            </w:r>
          </w:p>
        </w:tc>
        <w:tc>
          <w:tcPr>
            <w:tcW w:type="dxa" w:w="2381"/>
            <w:vAlign w:val="center"/>
            <w:shd w:fill="F2F6FA"/>
          </w:tcPr>
          <w:p>
            <w:pPr>
              <w:spacing w:after="40"/>
              <w:jc w:val="left"/>
            </w:pPr>
            <w:r>
              <w:rPr>
                <w:rFonts w:ascii="Arial" w:hAnsi="Arial" w:eastAsia="Arial"/>
              </w:rPr>
            </w:r>
            <w:r>
              <w:rPr>
                <w:rFonts w:ascii="Arial" w:hAnsi="Arial" w:eastAsia="Arial"/>
                <w:b w:val="0"/>
                <w:sz w:val="16"/>
              </w:rPr>
              <w:t>Customer Engagement</w:t>
            </w:r>
          </w:p>
        </w:tc>
        <w:tc>
          <w:tcPr>
            <w:tcW w:type="dxa" w:w="1474"/>
            <w:vAlign w:val="center"/>
            <w:shd w:fill="F2F6FA"/>
          </w:tcPr>
          <w:p>
            <w:pPr>
              <w:spacing w:after="40"/>
              <w:jc w:val="left"/>
            </w:pPr>
            <w:r>
              <w:rPr>
                <w:rFonts w:ascii="Arial" w:hAnsi="Arial" w:eastAsia="Arial"/>
              </w:rPr>
            </w:r>
            <w:r>
              <w:rPr>
                <w:rFonts w:ascii="Arial" w:hAnsi="Arial" w:eastAsia="Arial"/>
                <w:b w:val="0"/>
                <w:sz w:val="16"/>
              </w:rPr>
              <w:t>2 adam/gün</w:t>
            </w:r>
          </w:p>
        </w:tc>
      </w:tr>
      <w:tr>
        <w:tc>
          <w:tcPr>
            <w:tcW w:type="dxa" w:w="567"/>
            <w:vAlign w:val="center"/>
          </w:tcPr>
          <w:p>
            <w:pPr>
              <w:spacing w:after="40"/>
              <w:jc w:val="left"/>
            </w:pPr>
            <w:r>
              <w:rPr>
                <w:rFonts w:ascii="Arial" w:hAnsi="Arial" w:eastAsia="Arial"/>
              </w:rPr>
            </w:r>
            <w:r>
              <w:rPr>
                <w:rFonts w:ascii="Arial" w:hAnsi="Arial" w:eastAsia="Arial"/>
                <w:b w:val="0"/>
                <w:sz w:val="16"/>
              </w:rPr>
              <w:t>13</w:t>
            </w:r>
          </w:p>
        </w:tc>
        <w:tc>
          <w:tcPr>
            <w:tcW w:type="dxa" w:w="5103"/>
            <w:vAlign w:val="center"/>
          </w:tcPr>
          <w:p>
            <w:pPr>
              <w:spacing w:after="40"/>
              <w:jc w:val="left"/>
            </w:pPr>
            <w:r>
              <w:rPr>
                <w:rFonts w:ascii="Arial" w:hAnsi="Arial" w:eastAsia="Arial"/>
              </w:rPr>
            </w:r>
            <w:r>
              <w:rPr>
                <w:rFonts w:ascii="Arial" w:hAnsi="Arial" w:eastAsia="Arial"/>
                <w:b w:val="0"/>
                <w:sz w:val="16"/>
              </w:rPr>
              <w:t>SMS gönderim geliştirmesi</w:t>
            </w:r>
          </w:p>
        </w:tc>
        <w:tc>
          <w:tcPr>
            <w:tcW w:type="dxa" w:w="2381"/>
            <w:vAlign w:val="center"/>
          </w:tcPr>
          <w:p>
            <w:pPr>
              <w:spacing w:after="40"/>
              <w:jc w:val="left"/>
            </w:pPr>
            <w:r>
              <w:rPr>
                <w:rFonts w:ascii="Arial" w:hAnsi="Arial" w:eastAsia="Arial"/>
              </w:rPr>
            </w:r>
            <w:r>
              <w:rPr>
                <w:rFonts w:ascii="Arial" w:hAnsi="Arial" w:eastAsia="Arial"/>
                <w:b w:val="0"/>
                <w:sz w:val="16"/>
              </w:rPr>
              <w:t>Customer Engagement</w:t>
            </w:r>
          </w:p>
        </w:tc>
        <w:tc>
          <w:tcPr>
            <w:tcW w:type="dxa" w:w="1474"/>
            <w:vAlign w:val="center"/>
          </w:tcPr>
          <w:p>
            <w:pPr>
              <w:spacing w:after="40"/>
              <w:jc w:val="left"/>
            </w:pPr>
            <w:r>
              <w:rPr>
                <w:rFonts w:ascii="Arial" w:hAnsi="Arial" w:eastAsia="Arial"/>
              </w:rPr>
            </w:r>
            <w:r>
              <w:rPr>
                <w:rFonts w:ascii="Arial" w:hAnsi="Arial" w:eastAsia="Arial"/>
                <w:b w:val="0"/>
                <w:sz w:val="16"/>
              </w:rPr>
              <w:t>2 adam/gün</w:t>
            </w:r>
          </w:p>
        </w:tc>
      </w:tr>
    </w:tbl>
    <w:p>
      <w:pPr>
        <w:pStyle w:val="Heading1"/>
        <w:keepNext/>
      </w:pPr>
      <w:r>
        <w:t>Efor Özeti</w:t>
      </w:r>
    </w:p>
    <w:tbl>
      <w:tblPr>
        <w:tblStyle w:val="TableGrid"/>
        <w:tblW w:type="auto" w:w="0"/>
        <w:jc w:val="left"/>
        <w:tblLook w:firstColumn="1" w:firstRow="1" w:lastColumn="0" w:lastRow="0" w:noHBand="0" w:noVBand="1" w:val="04A0"/>
      </w:tblPr>
      <w:tblGrid>
        <w:gridCol w:w="5100"/>
        <w:gridCol w:w="5100"/>
      </w:tblGrid>
      <w:tr>
        <w:tc>
          <w:tcPr>
            <w:tcW w:type="dxa" w:w="5100"/>
            <w:vAlign w:val="center"/>
            <w:shd w:fill="1F4E79"/>
          </w:tcPr>
          <w:p>
            <w:pPr>
              <w:spacing w:after="40"/>
              <w:jc w:val="left"/>
            </w:pPr>
            <w:r>
              <w:rPr>
                <w:rFonts w:ascii="Arial" w:hAnsi="Arial" w:eastAsia="Arial"/>
              </w:rPr>
            </w:r>
            <w:r>
              <w:rPr>
                <w:rFonts w:ascii="Arial" w:hAnsi="Arial" w:eastAsia="Arial"/>
                <w:b/>
                <w:color w:val="FFFFFF"/>
                <w:sz w:val="18"/>
              </w:rPr>
              <w:t>Ekip</w:t>
            </w:r>
          </w:p>
        </w:tc>
        <w:tc>
          <w:tcPr>
            <w:tcW w:type="dxa" w:w="5100"/>
            <w:vAlign w:val="center"/>
            <w:shd w:fill="1F4E79"/>
          </w:tcPr>
          <w:p>
            <w:pPr>
              <w:spacing w:after="40"/>
              <w:jc w:val="left"/>
            </w:pPr>
            <w:r>
              <w:rPr>
                <w:rFonts w:ascii="Arial" w:hAnsi="Arial" w:eastAsia="Arial"/>
              </w:rPr>
            </w:r>
            <w:r>
              <w:rPr>
                <w:rFonts w:ascii="Arial" w:hAnsi="Arial" w:eastAsia="Arial"/>
                <w:b/>
                <w:color w:val="FFFFFF"/>
                <w:sz w:val="18"/>
              </w:rPr>
              <w:t>Toplam Tahmini Efor</w:t>
            </w:r>
          </w:p>
        </w:tc>
      </w:tr>
      <w:tr>
        <w:tc>
          <w:tcPr>
            <w:tcW w:type="dxa" w:w="5100"/>
            <w:vAlign w:val="center"/>
          </w:tcPr>
          <w:p>
            <w:pPr>
              <w:spacing w:after="40"/>
              <w:jc w:val="left"/>
            </w:pPr>
            <w:r>
              <w:rPr>
                <w:rFonts w:ascii="Arial" w:hAnsi="Arial" w:eastAsia="Arial"/>
              </w:rPr>
            </w:r>
            <w:r>
              <w:rPr>
                <w:rFonts w:ascii="Arial" w:hAnsi="Arial" w:eastAsia="Arial"/>
                <w:b w:val="0"/>
                <w:sz w:val="18"/>
              </w:rPr>
              <w:t>Customer Engagement</w:t>
            </w:r>
          </w:p>
        </w:tc>
        <w:tc>
          <w:tcPr>
            <w:tcW w:type="dxa" w:w="5100"/>
            <w:vAlign w:val="center"/>
          </w:tcPr>
          <w:p>
            <w:pPr>
              <w:spacing w:after="40"/>
              <w:jc w:val="left"/>
            </w:pPr>
            <w:r>
              <w:rPr>
                <w:rFonts w:ascii="Arial" w:hAnsi="Arial" w:eastAsia="Arial"/>
              </w:rPr>
            </w:r>
            <w:r>
              <w:rPr>
                <w:rFonts w:ascii="Arial" w:hAnsi="Arial" w:eastAsia="Arial"/>
                <w:b w:val="0"/>
                <w:sz w:val="18"/>
              </w:rPr>
              <w:t>36 adam/gün</w:t>
            </w:r>
          </w:p>
        </w:tc>
      </w:tr>
      <w:tr>
        <w:tc>
          <w:tcPr>
            <w:tcW w:type="dxa" w:w="5100"/>
            <w:vAlign w:val="center"/>
          </w:tcPr>
          <w:p>
            <w:pPr>
              <w:spacing w:after="40"/>
              <w:jc w:val="left"/>
            </w:pPr>
            <w:r>
              <w:rPr>
                <w:rFonts w:ascii="Arial" w:hAnsi="Arial" w:eastAsia="Arial"/>
              </w:rPr>
            </w:r>
            <w:r>
              <w:rPr>
                <w:rFonts w:ascii="Arial" w:hAnsi="Arial" w:eastAsia="Arial"/>
                <w:b w:val="0"/>
                <w:sz w:val="18"/>
              </w:rPr>
              <w:t>Fulfillment</w:t>
            </w:r>
          </w:p>
        </w:tc>
        <w:tc>
          <w:tcPr>
            <w:tcW w:type="dxa" w:w="5100"/>
            <w:vAlign w:val="center"/>
          </w:tcPr>
          <w:p>
            <w:pPr>
              <w:spacing w:after="40"/>
              <w:jc w:val="left"/>
            </w:pPr>
            <w:r>
              <w:rPr>
                <w:rFonts w:ascii="Arial" w:hAnsi="Arial" w:eastAsia="Arial"/>
              </w:rPr>
            </w:r>
            <w:r>
              <w:rPr>
                <w:rFonts w:ascii="Arial" w:hAnsi="Arial" w:eastAsia="Arial"/>
                <w:b w:val="0"/>
                <w:sz w:val="18"/>
              </w:rPr>
              <w:t>10 adam/gün</w:t>
            </w:r>
          </w:p>
        </w:tc>
      </w:tr>
      <w:tr>
        <w:tc>
          <w:tcPr>
            <w:tcW w:type="dxa" w:w="5100"/>
            <w:vAlign w:val="center"/>
          </w:tcPr>
          <w:p>
            <w:pPr>
              <w:spacing w:after="40"/>
              <w:jc w:val="left"/>
            </w:pPr>
            <w:r>
              <w:rPr>
                <w:rFonts w:ascii="Arial" w:hAnsi="Arial" w:eastAsia="Arial"/>
              </w:rPr>
            </w:r>
            <w:r>
              <w:rPr>
                <w:rFonts w:ascii="Arial" w:hAnsi="Arial" w:eastAsia="Arial"/>
                <w:b w:val="0"/>
                <w:sz w:val="18"/>
              </w:rPr>
              <w:t>Diğer / Netleşmemiş İşler</w:t>
            </w:r>
          </w:p>
        </w:tc>
        <w:tc>
          <w:tcPr>
            <w:tcW w:type="dxa" w:w="5100"/>
            <w:vAlign w:val="center"/>
          </w:tcPr>
          <w:p>
            <w:pPr>
              <w:spacing w:after="40"/>
              <w:jc w:val="left"/>
            </w:pPr>
            <w:r>
              <w:rPr>
                <w:rFonts w:ascii="Arial" w:hAnsi="Arial" w:eastAsia="Arial"/>
              </w:rPr>
            </w:r>
            <w:r>
              <w:rPr>
                <w:rFonts w:ascii="Arial" w:hAnsi="Arial" w:eastAsia="Arial"/>
                <w:b w:val="0"/>
                <w:sz w:val="18"/>
              </w:rPr>
              <w:t>Efor çalışılacak</w:t>
            </w:r>
          </w:p>
        </w:tc>
      </w:tr>
    </w:tbl>
    <w:p>
      <w:r>
        <w:rPr>
          <w:b/>
        </w:rPr>
        <w:t xml:space="preserve">Not: </w:t>
      </w:r>
      <w:r>
        <w:t>Customer Engagement toplamına net eforu belirlenmiş iş kalemleri dahil edilmiştir. Uygulamanın dışarıya açılması, mobilestore ve backoffice geliştirmeleri için net efor henüz verilmemiştir. Bu kalemler ayrıca değerlendirilecektir.</w:t>
      </w:r>
    </w:p>
    <w:sectPr w:rsidR="00FC693F" w:rsidRPr="0006063C" w:rsidSect="00034616">
      <w:headerReference w:type="default" r:id="rId9"/>
      <w:footerReference w:type="default" r:id="rId10"/>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Sipariş Sonrası Müşteri Deneyimi - Single Page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444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