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rFonts w:ascii="Comic Sans MS" w:cs="Comic Sans MS" w:eastAsia="Comic Sans MS" w:hAnsi="Comic Sans MS"/>
          <w:b w:val="1"/>
          <w:bCs w:val="1"/>
          <w:sz w:val="32"/>
          <w:szCs w:val="32"/>
          <w:shd w:fill="d9d9d9" w:val="clear"/>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28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before="240" w:lineRule="auto"/>
              <w:ind w:firstLine="566.9291338582677"/>
              <w:jc w:val="cente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University College of Applied Sciences</w:t>
            </w:r>
          </w:p>
          <w:p w:rsidR="00000000" w:rsidDel="00000000" w:rsidP="00000000" w:rsidRDefault="00000000" w:rsidRPr="00000000" w14:paraId="00000003">
            <w:pPr>
              <w:spacing w:before="240" w:lineRule="auto"/>
              <w:ind w:firstLine="566.9291338582677"/>
              <w:jc w:val="center"/>
              <w:rPr>
                <w:rFonts w:ascii="Comic Sans MS" w:cs="Comic Sans MS" w:eastAsia="Comic Sans MS" w:hAnsi="Comic Sans MS"/>
                <w:b w:val="1"/>
                <w:bCs w:val="1"/>
                <w:sz w:val="20"/>
                <w:szCs w:val="20"/>
              </w:rPr>
            </w:pPr>
            <w:r w:rsidDel="00000000" w:rsidR="00000000" w:rsidRPr="00000000">
              <w:rPr>
                <w:rFonts w:ascii="Comic Sans MS" w:cs="Comic Sans MS" w:eastAsia="Comic Sans MS" w:hAnsi="Comic Sans MS"/>
                <w:b w:val="1"/>
                <w:bCs w:val="1"/>
                <w:sz w:val="20"/>
                <w:szCs w:val="20"/>
                <w:rtl w:val="0"/>
              </w:rPr>
              <w:t xml:space="preserve">Department of Engineering</w:t>
            </w:r>
          </w:p>
          <w:p w:rsidR="00000000" w:rsidDel="00000000" w:rsidP="00000000" w:rsidRDefault="00000000" w:rsidRPr="00000000" w14:paraId="00000004">
            <w:pPr>
              <w:spacing w:after="240" w:before="240" w:lineRule="auto"/>
              <w:ind w:firstLine="566.9291338582677"/>
              <w:jc w:val="center"/>
              <w:rPr>
                <w:rFonts w:ascii="Times New Roman" w:cs="Times New Roman" w:eastAsia="Times New Roman" w:hAnsi="Times New Roman"/>
                <w:b w:val="1"/>
                <w:bCs w:val="1"/>
                <w:sz w:val="24"/>
                <w:szCs w:val="24"/>
                <w:shd w:fill="d9d9d9" w:val="clear"/>
              </w:rPr>
            </w:pPr>
            <w:r w:rsidDel="00000000" w:rsidR="00000000" w:rsidRPr="00000000">
              <w:rPr>
                <w:rtl w:val="0"/>
              </w:rPr>
            </w:r>
          </w:p>
          <w:p w:rsidR="00000000" w:rsidDel="00000000" w:rsidP="00000000" w:rsidRDefault="00000000" w:rsidRPr="00000000" w14:paraId="00000005">
            <w:pPr>
              <w:spacing w:after="240" w:before="240" w:lineRule="auto"/>
              <w:ind w:firstLine="566.9291338582677"/>
              <w:jc w:val="center"/>
              <w:rPr>
                <w:rFonts w:ascii="Times New Roman" w:cs="Times New Roman" w:eastAsia="Times New Roman" w:hAnsi="Times New Roman"/>
                <w:b w:val="1"/>
                <w:bCs w:val="1"/>
                <w:sz w:val="24"/>
                <w:szCs w:val="24"/>
                <w:shd w:fill="d9d9d9" w:val="clear"/>
              </w:rPr>
            </w:pPr>
            <w:r w:rsidDel="00000000" w:rsidR="00000000" w:rsidRPr="00000000">
              <w:rPr>
                <w:rtl w:val="0"/>
              </w:rPr>
            </w:r>
          </w:p>
        </w:tc>
      </w:tr>
      <w:tr>
        <w:trPr>
          <w:cantSplit w:val="0"/>
          <w:trHeight w:val="5025.849609375001" w:hRule="atLeast"/>
          <w:tblHeader w:val="0"/>
        </w:trPr>
        <w:tc>
          <w:tcPr>
            <w:tcBorders>
              <w:top w:color="000000" w:space="0" w:sz="0" w:val="nil"/>
              <w:left w:color="000000" w:space="0" w:sz="0" w:val="nil"/>
              <w:bottom w:color="4f81bd"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276" w:lineRule="auto"/>
              <w:ind w:left="1275.5905511811022" w:firstLine="0"/>
              <w:jc w:val="center"/>
              <w:rPr>
                <w:rFonts w:ascii="Times New Roman" w:cs="Times New Roman" w:eastAsia="Times New Roman" w:hAnsi="Times New Roman"/>
                <w:b w:val="1"/>
                <w:bCs w:val="1"/>
                <w:i w:val="1"/>
                <w:iCs w:val="1"/>
                <w:sz w:val="52"/>
                <w:szCs w:val="52"/>
              </w:rPr>
            </w:pPr>
            <w:r w:rsidDel="00000000" w:rsidR="00000000" w:rsidRPr="00000000">
              <w:rPr>
                <w:rFonts w:ascii="Times New Roman" w:cs="Times New Roman" w:eastAsia="Times New Roman" w:hAnsi="Times New Roman"/>
                <w:b w:val="1"/>
                <w:bCs w:val="1"/>
                <w:i w:val="1"/>
                <w:iCs w:val="1"/>
                <w:sz w:val="52"/>
                <w:szCs w:val="52"/>
                <w:rtl w:val="0"/>
              </w:rPr>
              <w:t xml:space="preserve">Prototype of an expert system      to evaluate building damage and   provide reliable recommendations despite uncertainties</w:t>
            </w:r>
          </w:p>
          <w:p w:rsidR="00000000" w:rsidDel="00000000" w:rsidP="00000000" w:rsidRDefault="00000000" w:rsidRPr="00000000" w14:paraId="00000007">
            <w:pPr>
              <w:spacing w:after="240" w:before="240" w:line="276" w:lineRule="auto"/>
              <w:ind w:left="1275.5905511811022" w:firstLine="570"/>
              <w:jc w:val="center"/>
              <w:rPr>
                <w:rFonts w:ascii="Times New Roman" w:cs="Times New Roman" w:eastAsia="Times New Roman" w:hAnsi="Times New Roman"/>
                <w:b w:val="1"/>
                <w:bCs w:val="1"/>
                <w:i w:val="1"/>
                <w:iCs w:val="1"/>
                <w:sz w:val="52"/>
                <w:szCs w:val="52"/>
              </w:rPr>
            </w:pPr>
            <w:r w:rsidDel="00000000" w:rsidR="00000000" w:rsidRPr="00000000">
              <w:rPr>
                <w:rtl w:val="0"/>
              </w:rPr>
            </w:r>
          </w:p>
          <w:p w:rsidR="00000000" w:rsidDel="00000000" w:rsidP="00000000" w:rsidRDefault="00000000" w:rsidRPr="00000000" w14:paraId="00000008">
            <w:pPr>
              <w:spacing w:after="240" w:before="240" w:line="276" w:lineRule="auto"/>
              <w:ind w:left="1275.5905511811022" w:firstLine="0"/>
              <w:jc w:val="left"/>
              <w:rPr>
                <w:rFonts w:ascii="Times New Roman" w:cs="Times New Roman" w:eastAsia="Times New Roman" w:hAnsi="Times New Roman"/>
                <w:b w:val="1"/>
                <w:bCs w:val="1"/>
                <w:i w:val="1"/>
                <w:iCs w:val="1"/>
                <w:sz w:val="52"/>
                <w:szCs w:val="52"/>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ind w:left="1275.5905511811022" w:firstLine="570"/>
              <w:jc w:val="center"/>
              <w:rPr>
                <w:rFonts w:ascii="Times New Roman" w:cs="Times New Roman" w:eastAsia="Times New Roman" w:hAnsi="Times New Roman"/>
                <w:b w:val="1"/>
                <w:bCs w:val="1"/>
                <w:sz w:val="44"/>
                <w:szCs w:val="44"/>
                <w:shd w:fill="d9d9d9" w:val="clear"/>
              </w:rPr>
            </w:pPr>
            <w:r w:rsidDel="00000000" w:rsidR="00000000" w:rsidRPr="00000000">
              <w:rPr>
                <w:rFonts w:ascii="Times New Roman" w:cs="Times New Roman" w:eastAsia="Times New Roman" w:hAnsi="Times New Roman"/>
                <w:b w:val="1"/>
                <w:bCs w:val="1"/>
                <w:sz w:val="44"/>
                <w:szCs w:val="44"/>
                <w:shd w:fill="d9d9d9" w:val="clear"/>
                <w:rtl w:val="0"/>
              </w:rPr>
              <w:t xml:space="preserve"> </w:t>
            </w:r>
          </w:p>
        </w:tc>
      </w:tr>
    </w:tbl>
    <w:p w:rsidR="00000000" w:rsidDel="00000000" w:rsidP="00000000" w:rsidRDefault="00000000" w:rsidRPr="00000000" w14:paraId="0000000A">
      <w:pPr>
        <w:spacing w:after="240" w:before="240" w:lineRule="auto"/>
        <w:rPr>
          <w:rFonts w:ascii="Comic Sans MS" w:cs="Comic Sans MS" w:eastAsia="Comic Sans MS" w:hAnsi="Comic Sans MS"/>
          <w:b w:val="1"/>
          <w:bCs w:val="1"/>
          <w:sz w:val="32"/>
          <w:szCs w:val="32"/>
          <w:shd w:fill="d9d9d9" w:val="clear"/>
        </w:rPr>
      </w:pPr>
      <w:r w:rsidDel="00000000" w:rsidR="00000000" w:rsidRPr="00000000">
        <w:rPr>
          <w:rtl w:val="0"/>
        </w:rPr>
      </w:r>
    </w:p>
    <w:p w:rsidR="00000000" w:rsidDel="00000000" w:rsidP="00000000" w:rsidRDefault="00000000" w:rsidRPr="00000000" w14:paraId="0000000B">
      <w:pPr>
        <w:spacing w:after="240" w:before="240" w:lineRule="auto"/>
        <w:rPr>
          <w:rFonts w:ascii="Comic Sans MS" w:cs="Comic Sans MS" w:eastAsia="Comic Sans MS" w:hAnsi="Comic Sans MS"/>
          <w:b w:val="1"/>
          <w:bCs w:val="1"/>
          <w:sz w:val="32"/>
          <w:szCs w:val="32"/>
          <w:shd w:fill="d9d9d9" w:val="clear"/>
        </w:rPr>
      </w:pPr>
      <w:r w:rsidDel="00000000" w:rsidR="00000000" w:rsidRPr="00000000">
        <w:rPr>
          <w:rFonts w:ascii="Comic Sans MS" w:cs="Comic Sans MS" w:eastAsia="Comic Sans MS" w:hAnsi="Comic Sans MS"/>
          <w:b w:val="1"/>
          <w:bCs w:val="1"/>
          <w:sz w:val="32"/>
          <w:szCs w:val="32"/>
          <w:shd w:fill="d9d9d9" w:val="clear"/>
          <w:rtl w:val="0"/>
        </w:rPr>
        <w:t xml:space="preserve">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ind w:left="140" w:right="140" w:firstLine="0"/>
              <w:jc w:val="center"/>
              <w:rPr>
                <w:rFonts w:ascii="Comic Sans MS" w:cs="Comic Sans MS" w:eastAsia="Comic Sans MS" w:hAnsi="Comic Sans MS"/>
                <w:b w:val="1"/>
                <w:bCs w:val="1"/>
                <w:sz w:val="32"/>
                <w:szCs w:val="32"/>
                <w:shd w:fill="d9d9d9" w:val="clear"/>
              </w:rPr>
            </w:pPr>
            <w:r w:rsidDel="00000000" w:rsidR="00000000" w:rsidRPr="00000000">
              <w:rPr>
                <w:rFonts w:ascii="Comic Sans MS" w:cs="Comic Sans MS" w:eastAsia="Comic Sans MS" w:hAnsi="Comic Sans MS"/>
                <w:b w:val="1"/>
                <w:bCs w:val="1"/>
                <w:sz w:val="32"/>
                <w:szCs w:val="32"/>
                <w:shd w:fill="d9d9d9" w:val="clear"/>
                <w:rtl w:val="0"/>
              </w:rPr>
              <w:t xml:space="preserve"> </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ind w:left="140" w:right="140" w:firstLine="0"/>
              <w:jc w:val="center"/>
              <w:rPr>
                <w:rFonts w:ascii="Comic Sans MS" w:cs="Comic Sans MS" w:eastAsia="Comic Sans MS" w:hAnsi="Comic Sans MS"/>
                <w:sz w:val="38"/>
                <w:szCs w:val="38"/>
              </w:rPr>
            </w:pPr>
            <w:r w:rsidDel="00000000" w:rsidR="00000000" w:rsidRPr="00000000">
              <w:rPr>
                <w:rtl w:val="0"/>
              </w:rPr>
            </w:r>
          </w:p>
        </w:tc>
      </w:tr>
    </w:tbl>
    <w:p w:rsidR="00000000" w:rsidDel="00000000" w:rsidP="00000000" w:rsidRDefault="00000000" w:rsidRPr="00000000" w14:paraId="0000000E">
      <w:pPr>
        <w:pStyle w:val="Heading3"/>
        <w:keepNext w:val="0"/>
        <w:keepLines w:val="0"/>
        <w:spacing w:before="280" w:lineRule="auto"/>
        <w:rPr>
          <w:b w:val="1"/>
          <w:bCs w:val="1"/>
          <w:color w:val="000000"/>
        </w:rPr>
      </w:pPr>
      <w:bookmarkStart w:colFirst="0" w:colLast="0" w:name="_pwbeo2xthz5q" w:id="0"/>
      <w:bookmarkEnd w:id="0"/>
      <w:r w:rsidDel="00000000" w:rsidR="00000000" w:rsidRPr="00000000">
        <w:rPr>
          <w:rFonts w:ascii="Comic Sans MS" w:cs="Comic Sans MS" w:eastAsia="Comic Sans MS" w:hAnsi="Comic Sans MS"/>
          <w:b w:val="1"/>
          <w:bCs w:val="1"/>
          <w:color w:val="000000"/>
          <w:sz w:val="34"/>
          <w:szCs w:val="34"/>
          <w:shd w:fill="d9d9d9" w:val="clear"/>
          <w:rtl w:val="0"/>
        </w:rPr>
        <w:t xml:space="preserve">Introduction</w:t>
      </w:r>
      <w:r w:rsidDel="00000000" w:rsidR="00000000" w:rsidRPr="00000000">
        <w:rPr>
          <w:rtl w:val="0"/>
        </w:rPr>
      </w:r>
    </w:p>
    <w:p w:rsidR="00000000" w:rsidDel="00000000" w:rsidP="00000000" w:rsidRDefault="00000000" w:rsidRPr="00000000" w14:paraId="0000000F">
      <w:pPr>
        <w:spacing w:after="240" w:before="240" w:lineRule="auto"/>
        <w:rPr>
          <w:rFonts w:ascii="Aref Ruqaa" w:cs="Aref Ruqaa" w:eastAsia="Aref Ruqaa" w:hAnsi="Aref Ruqaa"/>
          <w:b w:val="1"/>
          <w:bCs w:val="1"/>
          <w:sz w:val="24"/>
          <w:szCs w:val="24"/>
        </w:rPr>
      </w:pPr>
      <w:r w:rsidDel="00000000" w:rsidR="00000000" w:rsidRPr="00000000">
        <w:rPr>
          <w:rFonts w:ascii="Aref Ruqaa" w:cs="Aref Ruqaa" w:eastAsia="Aref Ruqaa" w:hAnsi="Aref Ruqaa"/>
          <w:b w:val="1"/>
          <w:bCs w:val="1"/>
          <w:sz w:val="24"/>
          <w:szCs w:val="24"/>
          <w:rtl w:val="0"/>
        </w:rPr>
        <w:t xml:space="preserve">Housing is a critical component of societal stability, providing shelter, security, and a foundation for livelihoods. In Gaza, the destruction of housing caused by repeated conflicts over the past 16 years has left many families without adequate shelter. Despite the urgent need, the reconstruction process faces significant delays due to a lack of clear strategies and limited resources. The "Assessment of Physical Damage Caused to Buildings by the War on Gaza" report highlights the extent of destruction, with over 360,000 housing units affected. The ongoing siege, restricted access to construction materials, and insufficient financial support from donors further hinder reconstruction efforts. A systematic approach is needed to prioritize reconstruction based on defined criteria, ensuring fair and effective resource allocation to address the most critical needs.</w:t>
      </w:r>
    </w:p>
    <w:p w:rsidR="00000000" w:rsidDel="00000000" w:rsidP="00000000" w:rsidRDefault="00000000" w:rsidRPr="00000000" w14:paraId="00000010">
      <w:pPr>
        <w:spacing w:after="240" w:before="240" w:lineRule="auto"/>
        <w:rPr>
          <w:rFonts w:ascii="Aref Ruqaa" w:cs="Aref Ruqaa" w:eastAsia="Aref Ruqaa" w:hAnsi="Aref Ruqaa"/>
          <w:b w:val="1"/>
          <w:bCs w:val="1"/>
          <w:sz w:val="24"/>
          <w:szCs w:val="2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Aref Ruqaa" w:cs="Aref Ruqaa" w:eastAsia="Aref Ruqaa" w:hAnsi="Aref Ruqaa"/>
          <w:b w:val="1"/>
          <w:bCs w:val="1"/>
          <w:i w:val="1"/>
          <w:iCs w:val="1"/>
          <w:sz w:val="36"/>
          <w:szCs w:val="36"/>
        </w:rPr>
      </w:pPr>
      <w:bookmarkStart w:colFirst="0" w:colLast="0" w:name="_d2tc9hf2hzb7" w:id="1"/>
      <w:bookmarkEnd w:id="1"/>
      <w:r w:rsidDel="00000000" w:rsidR="00000000" w:rsidRPr="00000000">
        <w:rPr>
          <w:rFonts w:ascii="Aref Ruqaa" w:cs="Aref Ruqaa" w:eastAsia="Aref Ruqaa" w:hAnsi="Aref Ruqaa"/>
          <w:b w:val="1"/>
          <w:bCs w:val="1"/>
          <w:i w:val="1"/>
          <w:iCs w:val="1"/>
          <w:sz w:val="36"/>
          <w:szCs w:val="36"/>
          <w:rtl w:val="0"/>
        </w:rPr>
        <w:t xml:space="preserve">Methodology </w:t>
      </w:r>
    </w:p>
    <w:p w:rsidR="00000000" w:rsidDel="00000000" w:rsidP="00000000" w:rsidRDefault="00000000" w:rsidRPr="00000000" w14:paraId="00000012">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bhcaanhgqwoa" w:id="2"/>
      <w:bookmarkEnd w:id="2"/>
      <w:r w:rsidDel="00000000" w:rsidR="00000000" w:rsidRPr="00000000">
        <w:rPr>
          <w:rFonts w:ascii="Aref Ruqaa" w:cs="Aref Ruqaa" w:eastAsia="Aref Ruqaa" w:hAnsi="Aref Ruqaa"/>
          <w:b w:val="1"/>
          <w:bCs w:val="1"/>
          <w:color w:val="000000"/>
          <w:sz w:val="26"/>
          <w:szCs w:val="26"/>
          <w:rtl w:val="0"/>
        </w:rPr>
        <w:t xml:space="preserve">Data Collection Challenges</w:t>
      </w:r>
    </w:p>
    <w:p w:rsidR="00000000" w:rsidDel="00000000" w:rsidP="00000000" w:rsidRDefault="00000000" w:rsidRPr="00000000" w14:paraId="00000013">
      <w:pPr>
        <w:numPr>
          <w:ilvl w:val="0"/>
          <w:numId w:val="6"/>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Incomplete Data</w:t>
      </w:r>
      <w:r w:rsidDel="00000000" w:rsidR="00000000" w:rsidRPr="00000000">
        <w:rPr>
          <w:rFonts w:ascii="Aref Ruqaa" w:cs="Aref Ruqaa" w:eastAsia="Aref Ruqaa" w:hAnsi="Aref Ruqaa"/>
          <w:sz w:val="24"/>
          <w:szCs w:val="24"/>
          <w:rtl w:val="0"/>
        </w:rPr>
        <w:t xml:space="preserve">: Some areas are inaccessible due to debris, ongoing conflicts, or safety concerns, leading to incomplete inspections and missing critical information regarding pre-damage structural conditions.</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Conflicting Data</w:t>
      </w:r>
      <w:r w:rsidDel="00000000" w:rsidR="00000000" w:rsidRPr="00000000">
        <w:rPr>
          <w:rFonts w:ascii="Aref Ruqaa" w:cs="Aref Ruqaa" w:eastAsia="Aref Ruqaa" w:hAnsi="Aref Ruqaa"/>
          <w:sz w:val="24"/>
          <w:szCs w:val="24"/>
          <w:rtl w:val="0"/>
        </w:rPr>
        <w:t xml:space="preserve">: Differences in damage estimates may arise from field inspections versus satellite or radar imagery, creating discrepancies in assessment.</w:t>
      </w:r>
    </w:p>
    <w:p w:rsidR="00000000" w:rsidDel="00000000" w:rsidP="00000000" w:rsidRDefault="00000000" w:rsidRPr="00000000" w14:paraId="00000015">
      <w:pPr>
        <w:numPr>
          <w:ilvl w:val="0"/>
          <w:numId w:val="6"/>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Insufficient Accuracy</w:t>
      </w:r>
      <w:r w:rsidDel="00000000" w:rsidR="00000000" w:rsidRPr="00000000">
        <w:rPr>
          <w:rFonts w:ascii="Aref Ruqaa" w:cs="Aref Ruqaa" w:eastAsia="Aref Ruqaa" w:hAnsi="Aref Ruqaa"/>
          <w:sz w:val="24"/>
          <w:szCs w:val="24"/>
          <w:rtl w:val="0"/>
        </w:rPr>
        <w:t xml:space="preserve">: Remote sensing techniques, such as Synthetic Aperture Radar (SAR), may not detect subtle damages like internal cracks or foundational shifts.</w:t>
      </w:r>
    </w:p>
    <w:p w:rsidR="00000000" w:rsidDel="00000000" w:rsidP="00000000" w:rsidRDefault="00000000" w:rsidRPr="00000000" w14:paraId="00000016">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jxrx8y8pasn3" w:id="3"/>
      <w:bookmarkEnd w:id="3"/>
      <w:r w:rsidDel="00000000" w:rsidR="00000000" w:rsidRPr="00000000">
        <w:rPr>
          <w:rFonts w:ascii="Aref Ruqaa" w:cs="Aref Ruqaa" w:eastAsia="Aref Ruqaa" w:hAnsi="Aref Ruqaa"/>
          <w:b w:val="1"/>
          <w:bCs w:val="1"/>
          <w:color w:val="000000"/>
          <w:sz w:val="26"/>
          <w:szCs w:val="26"/>
          <w:rtl w:val="0"/>
        </w:rPr>
        <w:t xml:space="preserve">Resource and Methodology Challenges</w:t>
      </w:r>
    </w:p>
    <w:p w:rsidR="00000000" w:rsidDel="00000000" w:rsidP="00000000" w:rsidRDefault="00000000" w:rsidRPr="00000000" w14:paraId="00000017">
      <w:pPr>
        <w:numPr>
          <w:ilvl w:val="0"/>
          <w:numId w:val="1"/>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Limited Resources</w:t>
      </w:r>
      <w:r w:rsidDel="00000000" w:rsidR="00000000" w:rsidRPr="00000000">
        <w:rPr>
          <w:rFonts w:ascii="Aref Ruqaa" w:cs="Aref Ruqaa" w:eastAsia="Aref Ruqaa" w:hAnsi="Aref Ruqaa"/>
          <w:sz w:val="24"/>
          <w:szCs w:val="24"/>
          <w:rtl w:val="0"/>
        </w:rPr>
        <w:t xml:space="preserve">: The availability of construction materials and heavy equipment is restricted due to blockades and financial constraints, compounded by insufficient funding from international donors.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Inconsistent Methodologies</w:t>
      </w:r>
      <w:r w:rsidDel="00000000" w:rsidR="00000000" w:rsidRPr="00000000">
        <w:rPr>
          <w:rFonts w:ascii="Aref Ruqaa" w:cs="Aref Ruqaa" w:eastAsia="Aref Ruqaa" w:hAnsi="Aref Ruqaa"/>
          <w:sz w:val="24"/>
          <w:szCs w:val="24"/>
          <w:rtl w:val="0"/>
        </w:rPr>
        <w:t xml:space="preserve">: A lack of standardized assessment criteria for damage evaluation across various methods (e.g., field inspections vs. remote sensing) complicates the assessment process.</w:t>
      </w:r>
    </w:p>
    <w:p w:rsidR="00000000" w:rsidDel="00000000" w:rsidP="00000000" w:rsidRDefault="00000000" w:rsidRPr="00000000" w14:paraId="00000019">
      <w:pPr>
        <w:numPr>
          <w:ilvl w:val="0"/>
          <w:numId w:val="1"/>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Overwhelming Scale</w:t>
      </w:r>
      <w:r w:rsidDel="00000000" w:rsidR="00000000" w:rsidRPr="00000000">
        <w:rPr>
          <w:rFonts w:ascii="Aref Ruqaa" w:cs="Aref Ruqaa" w:eastAsia="Aref Ruqaa" w:hAnsi="Aref Ruqaa"/>
          <w:sz w:val="24"/>
          <w:szCs w:val="24"/>
          <w:rtl w:val="0"/>
        </w:rPr>
        <w:t xml:space="preserve">: The extensive number of damaged buildings creates logistical challenges in prioritization and resource allocation.</w:t>
      </w:r>
    </w:p>
    <w:p w:rsidR="00000000" w:rsidDel="00000000" w:rsidP="00000000" w:rsidRDefault="00000000" w:rsidRPr="00000000" w14:paraId="0000001A">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aili1c5xowl3" w:id="4"/>
      <w:bookmarkEnd w:id="4"/>
      <w:r w:rsidDel="00000000" w:rsidR="00000000" w:rsidRPr="00000000">
        <w:rPr>
          <w:rFonts w:ascii="Aref Ruqaa" w:cs="Aref Ruqaa" w:eastAsia="Aref Ruqaa" w:hAnsi="Aref Ruqaa"/>
          <w:b w:val="1"/>
          <w:bCs w:val="1"/>
          <w:color w:val="000000"/>
          <w:sz w:val="26"/>
          <w:szCs w:val="26"/>
          <w:rtl w:val="0"/>
        </w:rPr>
        <w:t xml:space="preserve">Human Factors</w:t>
      </w:r>
    </w:p>
    <w:p w:rsidR="00000000" w:rsidDel="00000000" w:rsidP="00000000" w:rsidRDefault="00000000" w:rsidRPr="00000000" w14:paraId="0000001B">
      <w:pPr>
        <w:numPr>
          <w:ilvl w:val="0"/>
          <w:numId w:val="3"/>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Subjective Evaluations</w:t>
      </w:r>
      <w:r w:rsidDel="00000000" w:rsidR="00000000" w:rsidRPr="00000000">
        <w:rPr>
          <w:rFonts w:ascii="Aref Ruqaa" w:cs="Aref Ruqaa" w:eastAsia="Aref Ruqaa" w:hAnsi="Aref Ruqaa"/>
          <w:sz w:val="24"/>
          <w:szCs w:val="24"/>
          <w:rtl w:val="0"/>
        </w:rPr>
        <w:t xml:space="preserve">: Variability in inspectors' judgments based on experience or pressure can lead to inconsistent assessments.</w:t>
      </w:r>
    </w:p>
    <w:p w:rsidR="00000000" w:rsidDel="00000000" w:rsidP="00000000" w:rsidRDefault="00000000" w:rsidRPr="00000000" w14:paraId="0000001C">
      <w:pPr>
        <w:numPr>
          <w:ilvl w:val="0"/>
          <w:numId w:val="3"/>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Communication Gaps</w:t>
      </w:r>
      <w:r w:rsidDel="00000000" w:rsidR="00000000" w:rsidRPr="00000000">
        <w:rPr>
          <w:rFonts w:ascii="Aref Ruqaa" w:cs="Aref Ruqaa" w:eastAsia="Aref Ruqaa" w:hAnsi="Aref Ruqaa"/>
          <w:sz w:val="24"/>
          <w:szCs w:val="24"/>
          <w:rtl w:val="0"/>
        </w:rPr>
        <w:t xml:space="preserve">: Delays in data sharing between field teams, central authorities, and reconstruction stakeholders can hinder effective assessment and response.</w:t>
      </w:r>
    </w:p>
    <w:p w:rsidR="00000000" w:rsidDel="00000000" w:rsidP="00000000" w:rsidRDefault="00000000" w:rsidRPr="00000000" w14:paraId="0000001D">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ryt3ugf6qhu2" w:id="5"/>
      <w:bookmarkEnd w:id="5"/>
      <w:r w:rsidDel="00000000" w:rsidR="00000000" w:rsidRPr="00000000">
        <w:rPr>
          <w:rFonts w:ascii="Aref Ruqaa" w:cs="Aref Ruqaa" w:eastAsia="Aref Ruqaa" w:hAnsi="Aref Ruqaa"/>
          <w:b w:val="1"/>
          <w:bCs w:val="1"/>
          <w:color w:val="000000"/>
          <w:sz w:val="26"/>
          <w:szCs w:val="26"/>
          <w:rtl w:val="0"/>
        </w:rPr>
        <w:t xml:space="preserve">Key Criteria for Damage Evaluation</w:t>
      </w:r>
    </w:p>
    <w:p w:rsidR="00000000" w:rsidDel="00000000" w:rsidP="00000000" w:rsidRDefault="00000000" w:rsidRPr="00000000" w14:paraId="0000001E">
      <w:pPr>
        <w:spacing w:after="240" w:before="240" w:lineRule="auto"/>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Reinforced concrete structures are often subjected to various types of damage due to differing exposure conditions throughout their life cycle. The assessment of such structures inherently involves uncertainty, where subjective opinions and incomplete numeric data are unavoidable.</w:t>
      </w:r>
    </w:p>
    <w:p w:rsidR="00000000" w:rsidDel="00000000" w:rsidP="00000000" w:rsidRDefault="00000000" w:rsidRPr="00000000" w14:paraId="0000001F">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m843hhm9e0s0" w:id="6"/>
      <w:bookmarkEnd w:id="6"/>
      <w:r w:rsidDel="00000000" w:rsidR="00000000" w:rsidRPr="00000000">
        <w:rPr>
          <w:rFonts w:ascii="Aref Ruqaa" w:cs="Aref Ruqaa" w:eastAsia="Aref Ruqaa" w:hAnsi="Aref Ruqaa"/>
          <w:b w:val="1"/>
          <w:bCs w:val="1"/>
          <w:color w:val="000000"/>
          <w:sz w:val="26"/>
          <w:szCs w:val="26"/>
          <w:rtl w:val="0"/>
        </w:rPr>
        <w:t xml:space="preserve">Types of Building Damage</w:t>
      </w:r>
    </w:p>
    <w:p w:rsidR="00000000" w:rsidDel="00000000" w:rsidP="00000000" w:rsidRDefault="00000000" w:rsidRPr="00000000" w14:paraId="00000020">
      <w:pPr>
        <w:numPr>
          <w:ilvl w:val="0"/>
          <w:numId w:val="4"/>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Structural Damage</w:t>
      </w:r>
      <w:r w:rsidDel="00000000" w:rsidR="00000000" w:rsidRPr="00000000">
        <w:rPr>
          <w:rFonts w:ascii="Aref Ruqaa" w:cs="Aref Ruqaa" w:eastAsia="Aref Ruqaa" w:hAnsi="Aref Ruqaa"/>
          <w:sz w:val="24"/>
          <w:szCs w:val="24"/>
          <w:rtl w:val="0"/>
        </w:rPr>
        <w:t xml:space="preserve">: This affects core support systems, including the foundation, load-bearing walls, beams and columns, and the roof. Signs include cracks in foundations and sagging rooflines.</w:t>
      </w:r>
    </w:p>
    <w:p w:rsidR="00000000" w:rsidDel="00000000" w:rsidP="00000000" w:rsidRDefault="00000000" w:rsidRPr="00000000" w14:paraId="00000021">
      <w:pPr>
        <w:numPr>
          <w:ilvl w:val="0"/>
          <w:numId w:val="4"/>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Non-Structural Damage</w:t>
      </w:r>
      <w:r w:rsidDel="00000000" w:rsidR="00000000" w:rsidRPr="00000000">
        <w:rPr>
          <w:rFonts w:ascii="Aref Ruqaa" w:cs="Aref Ruqaa" w:eastAsia="Aref Ruqaa" w:hAnsi="Aref Ruqaa"/>
          <w:sz w:val="24"/>
          <w:szCs w:val="24"/>
          <w:rtl w:val="0"/>
        </w:rPr>
        <w:t xml:space="preserve">: This includes damage to windows, doors, interior walls, and flooring.</w:t>
      </w:r>
    </w:p>
    <w:p w:rsidR="00000000" w:rsidDel="00000000" w:rsidP="00000000" w:rsidRDefault="00000000" w:rsidRPr="00000000" w14:paraId="00000022">
      <w:pPr>
        <w:pStyle w:val="Heading3"/>
        <w:keepNext w:val="0"/>
        <w:keepLines w:val="0"/>
        <w:spacing w:before="280" w:lineRule="auto"/>
        <w:rPr>
          <w:rFonts w:ascii="Aref Ruqaa" w:cs="Aref Ruqaa" w:eastAsia="Aref Ruqaa" w:hAnsi="Aref Ruqaa"/>
          <w:b w:val="1"/>
          <w:bCs w:val="1"/>
          <w:i w:val="1"/>
          <w:iCs w:val="1"/>
          <w:color w:val="000000"/>
          <w:sz w:val="26"/>
          <w:szCs w:val="26"/>
          <w:u w:val="single"/>
        </w:rPr>
      </w:pPr>
      <w:bookmarkStart w:colFirst="0" w:colLast="0" w:name="_azut38qrh8xd" w:id="7"/>
      <w:bookmarkEnd w:id="7"/>
      <w:r w:rsidDel="00000000" w:rsidR="00000000" w:rsidRPr="00000000">
        <w:rPr>
          <w:rFonts w:ascii="Aref Ruqaa" w:cs="Aref Ruqaa" w:eastAsia="Aref Ruqaa" w:hAnsi="Aref Ruqaa"/>
          <w:b w:val="1"/>
          <w:bCs w:val="1"/>
          <w:i w:val="1"/>
          <w:iCs w:val="1"/>
          <w:color w:val="000000"/>
          <w:sz w:val="26"/>
          <w:szCs w:val="26"/>
          <w:u w:val="single"/>
          <w:rtl w:val="0"/>
        </w:rPr>
        <w:t xml:space="preserve">Damage Grades According to the European Scale (EMS-98)</w:t>
      </w:r>
    </w:p>
    <w:p w:rsidR="00000000" w:rsidDel="00000000" w:rsidP="00000000" w:rsidRDefault="00000000" w:rsidRPr="00000000" w14:paraId="00000023">
      <w:pPr>
        <w:numPr>
          <w:ilvl w:val="0"/>
          <w:numId w:val="7"/>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1</w:t>
      </w:r>
      <w:r w:rsidDel="00000000" w:rsidR="00000000" w:rsidRPr="00000000">
        <w:rPr>
          <w:rFonts w:ascii="Aref Ruqaa" w:cs="Aref Ruqaa" w:eastAsia="Aref Ruqaa" w:hAnsi="Aref Ruqaa"/>
          <w:sz w:val="24"/>
          <w:szCs w:val="24"/>
          <w:rtl w:val="0"/>
        </w:rPr>
        <w:t xml:space="preserve">: Negligible to slight damage (hairline cracks).</w:t>
      </w:r>
      <w:r w:rsidDel="00000000" w:rsidR="00000000" w:rsidRPr="00000000">
        <w:rPr>
          <w:rFonts w:ascii="Aref Ruqaa" w:cs="Aref Ruqaa" w:eastAsia="Aref Ruqaa" w:hAnsi="Aref Ruqaa"/>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2514600" cy="1409700"/>
            <wp:effectExtent b="0" l="0" r="0" t="0"/>
            <wp:wrapNone/>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514600"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2</w:t>
      </w:r>
      <w:r w:rsidDel="00000000" w:rsidR="00000000" w:rsidRPr="00000000">
        <w:rPr>
          <w:rFonts w:ascii="Aref Ruqaa" w:cs="Aref Ruqaa" w:eastAsia="Aref Ruqaa" w:hAnsi="Aref Ruqaa"/>
          <w:sz w:val="24"/>
          <w:szCs w:val="24"/>
          <w:rtl w:val="0"/>
        </w:rPr>
        <w:t xml:space="preserve">: Moderate damage (fall of large pieces of plaster).</w:t>
      </w:r>
      <w:r w:rsidDel="00000000" w:rsidR="00000000" w:rsidRPr="00000000">
        <w:rPr>
          <w:rFonts w:ascii="Aref Ruqaa" w:cs="Aref Ruqaa" w:eastAsia="Aref Ruqaa" w:hAnsi="Aref Ruqaa"/>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2514600" cy="1409700"/>
            <wp:effectExtent b="0" l="0" r="0" t="0"/>
            <wp:wrapNone/>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514600"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25">
      <w:pPr>
        <w:numPr>
          <w:ilvl w:val="0"/>
          <w:numId w:val="7"/>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3</w:t>
      </w:r>
      <w:r w:rsidDel="00000000" w:rsidR="00000000" w:rsidRPr="00000000">
        <w:rPr>
          <w:rFonts w:ascii="Aref Ruqaa" w:cs="Aref Ruqaa" w:eastAsia="Aref Ruqaa" w:hAnsi="Aref Ruqaa"/>
          <w:sz w:val="24"/>
          <w:szCs w:val="24"/>
          <w:rtl w:val="0"/>
        </w:rPr>
        <w:t xml:space="preserve">: Substantial to heavy damage (extensive cracks).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732887" cy="1476375"/>
            <wp:effectExtent b="0" l="0" r="0" t="0"/>
            <wp:wrapNone/>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732887" cy="1476375"/>
                    </a:xfrm>
                    <a:prstGeom prst="rect"/>
                    <a:ln/>
                  </pic:spPr>
                </pic:pic>
              </a:graphicData>
            </a:graphic>
          </wp:anchor>
        </w:drawing>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4</w:t>
      </w:r>
      <w:r w:rsidDel="00000000" w:rsidR="00000000" w:rsidRPr="00000000">
        <w:rPr>
          <w:rFonts w:ascii="Aref Ruqaa" w:cs="Aref Ruqaa" w:eastAsia="Aref Ruqaa" w:hAnsi="Aref Ruqaa"/>
          <w:sz w:val="24"/>
          <w:szCs w:val="24"/>
          <w:rtl w:val="0"/>
        </w:rPr>
        <w:t xml:space="preserve">: Very heavy damage (serious failure of walls).</w:t>
      </w:r>
      <w:r w:rsidDel="00000000" w:rsidR="00000000" w:rsidRPr="00000000">
        <w:rPr>
          <w:rFonts w:ascii="Aref Ruqaa" w:cs="Aref Ruqaa" w:eastAsia="Aref Ruqaa" w:hAnsi="Aref Ruqaa"/>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2847975" cy="1562100"/>
            <wp:effectExtent b="0" l="0" r="0" t="0"/>
            <wp:wrapNone/>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847975" cy="1562100"/>
                    </a:xfrm>
                    <a:prstGeom prst="rect"/>
                    <a:ln/>
                  </pic:spPr>
                </pic:pic>
              </a:graphicData>
            </a:graphic>
          </wp:anchor>
        </w:drawing>
      </w:r>
      <w:r w:rsidDel="00000000" w:rsidR="00000000" w:rsidRPr="00000000">
        <w:rPr>
          <w:rtl w:val="0"/>
        </w:rPr>
      </w:r>
    </w:p>
    <w:p w:rsidR="00000000" w:rsidDel="00000000" w:rsidP="00000000" w:rsidRDefault="00000000" w:rsidRPr="00000000" w14:paraId="00000027">
      <w:pPr>
        <w:numPr>
          <w:ilvl w:val="0"/>
          <w:numId w:val="7"/>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5</w:t>
      </w:r>
      <w:r w:rsidDel="00000000" w:rsidR="00000000" w:rsidRPr="00000000">
        <w:rPr>
          <w:rFonts w:ascii="Aref Ruqaa" w:cs="Aref Ruqaa" w:eastAsia="Aref Ruqaa" w:hAnsi="Aref Ruqaa"/>
          <w:sz w:val="24"/>
          <w:szCs w:val="24"/>
          <w:rtl w:val="0"/>
        </w:rPr>
        <w:t xml:space="preserve">: Destruction (total collapse).</w:t>
      </w:r>
      <w:r w:rsidDel="00000000" w:rsidR="00000000" w:rsidRPr="00000000">
        <w:rPr>
          <w:rFonts w:ascii="Aref Ruqaa" w:cs="Aref Ruqaa" w:eastAsia="Aref Ruqaa" w:hAnsi="Aref Ruqaa"/>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3133725" cy="1409700"/>
            <wp:effectExtent b="0" l="0" r="0" t="0"/>
            <wp:wrapNone/>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133725"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Aref Ruqaa" w:cs="Aref Ruqaa" w:eastAsia="Aref Ruqaa" w:hAnsi="Aref Ruqaa"/>
          <w:b w:val="1"/>
          <w:bCs w:val="1"/>
          <w:sz w:val="34"/>
          <w:szCs w:val="34"/>
        </w:rPr>
      </w:pPr>
      <w:bookmarkStart w:colFirst="0" w:colLast="0" w:name="_qt2jr5vn1t94" w:id="8"/>
      <w:bookmarkEnd w:id="8"/>
      <w:r w:rsidDel="00000000" w:rsidR="00000000" w:rsidRPr="00000000">
        <w:rPr>
          <w:rFonts w:ascii="Aref Ruqaa" w:cs="Aref Ruqaa" w:eastAsia="Aref Ruqaa" w:hAnsi="Aref Ruqaa"/>
          <w:b w:val="1"/>
          <w:bCs w:val="1"/>
          <w:i w:val="1"/>
          <w:iCs w:val="1"/>
          <w:sz w:val="34"/>
          <w:szCs w:val="34"/>
          <w:rtl w:val="0"/>
        </w:rPr>
        <w:t xml:space="preserve">Results</w:t>
      </w:r>
      <w:r w:rsidDel="00000000" w:rsidR="00000000" w:rsidRPr="00000000">
        <w:rPr>
          <w:rFonts w:ascii="Aref Ruqaa" w:cs="Aref Ruqaa" w:eastAsia="Aref Ruqaa" w:hAnsi="Aref Ruqaa"/>
          <w:b w:val="1"/>
          <w:bCs w:val="1"/>
          <w:sz w:val="34"/>
          <w:szCs w:val="34"/>
          <w:rtl w:val="0"/>
        </w:rPr>
        <w:t xml:space="preserve"> </w:t>
      </w:r>
    </w:p>
    <w:p w:rsidR="00000000" w:rsidDel="00000000" w:rsidP="00000000" w:rsidRDefault="00000000" w:rsidRPr="00000000" w14:paraId="00000029">
      <w:pPr>
        <w:spacing w:after="240" w:before="240" w:lineRule="auto"/>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The assessment identified significant damage across various structures in Gaza, categorized by severity using the EMS-98 grading scale. The findings indicate that a substantial portion of housing units falls under Grade 3 and Grade 4, suggesting urgent intervention is required.</w:t>
      </w:r>
    </w:p>
    <w:p w:rsidR="00000000" w:rsidDel="00000000" w:rsidP="00000000" w:rsidRDefault="00000000" w:rsidRPr="00000000" w14:paraId="0000002A">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yc2pl0vopjrl" w:id="9"/>
      <w:bookmarkEnd w:id="9"/>
      <w:r w:rsidDel="00000000" w:rsidR="00000000" w:rsidRPr="00000000">
        <w:rPr>
          <w:rFonts w:ascii="Aref Ruqaa" w:cs="Aref Ruqaa" w:eastAsia="Aref Ruqaa" w:hAnsi="Aref Ruqaa"/>
          <w:b w:val="1"/>
          <w:bCs w:val="1"/>
          <w:color w:val="000000"/>
          <w:sz w:val="26"/>
          <w:szCs w:val="26"/>
          <w:rtl w:val="0"/>
        </w:rPr>
        <w:t xml:space="preserve">Grade Distribution:</w:t>
      </w:r>
    </w:p>
    <w:p w:rsidR="00000000" w:rsidDel="00000000" w:rsidP="00000000" w:rsidRDefault="00000000" w:rsidRPr="00000000" w14:paraId="0000002B">
      <w:pPr>
        <w:numPr>
          <w:ilvl w:val="0"/>
          <w:numId w:val="8"/>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1</w:t>
      </w:r>
      <w:r w:rsidDel="00000000" w:rsidR="00000000" w:rsidRPr="00000000">
        <w:rPr>
          <w:rFonts w:ascii="Aref Ruqaa" w:cs="Aref Ruqaa" w:eastAsia="Aref Ruqaa" w:hAnsi="Aref Ruqaa"/>
          <w:sz w:val="24"/>
          <w:szCs w:val="24"/>
          <w:rtl w:val="0"/>
        </w:rPr>
        <w:t xml:space="preserve">: 5% of assessed buildings.</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2</w:t>
      </w:r>
      <w:r w:rsidDel="00000000" w:rsidR="00000000" w:rsidRPr="00000000">
        <w:rPr>
          <w:rFonts w:ascii="Aref Ruqaa" w:cs="Aref Ruqaa" w:eastAsia="Aref Ruqaa" w:hAnsi="Aref Ruqaa"/>
          <w:sz w:val="24"/>
          <w:szCs w:val="24"/>
          <w:rtl w:val="0"/>
        </w:rPr>
        <w:t xml:space="preserve">: 10% of assessed buildings.</w:t>
      </w:r>
    </w:p>
    <w:p w:rsidR="00000000" w:rsidDel="00000000" w:rsidP="00000000" w:rsidRDefault="00000000" w:rsidRPr="00000000" w14:paraId="0000002D">
      <w:pPr>
        <w:numPr>
          <w:ilvl w:val="0"/>
          <w:numId w:val="8"/>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3</w:t>
      </w:r>
      <w:r w:rsidDel="00000000" w:rsidR="00000000" w:rsidRPr="00000000">
        <w:rPr>
          <w:rFonts w:ascii="Aref Ruqaa" w:cs="Aref Ruqaa" w:eastAsia="Aref Ruqaa" w:hAnsi="Aref Ruqaa"/>
          <w:sz w:val="24"/>
          <w:szCs w:val="24"/>
          <w:rtl w:val="0"/>
        </w:rPr>
        <w:t xml:space="preserve">: 40% of assessed buildings.</w:t>
      </w:r>
    </w:p>
    <w:p w:rsidR="00000000" w:rsidDel="00000000" w:rsidP="00000000" w:rsidRDefault="00000000" w:rsidRPr="00000000" w14:paraId="0000002E">
      <w:pPr>
        <w:numPr>
          <w:ilvl w:val="0"/>
          <w:numId w:val="8"/>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4</w:t>
      </w:r>
      <w:r w:rsidDel="00000000" w:rsidR="00000000" w:rsidRPr="00000000">
        <w:rPr>
          <w:rFonts w:ascii="Aref Ruqaa" w:cs="Aref Ruqaa" w:eastAsia="Aref Ruqaa" w:hAnsi="Aref Ruqaa"/>
          <w:sz w:val="24"/>
          <w:szCs w:val="24"/>
          <w:rtl w:val="0"/>
        </w:rPr>
        <w:t xml:space="preserve">: 30% of assessed buildings.</w:t>
      </w:r>
    </w:p>
    <w:p w:rsidR="00000000" w:rsidDel="00000000" w:rsidP="00000000" w:rsidRDefault="00000000" w:rsidRPr="00000000" w14:paraId="0000002F">
      <w:pPr>
        <w:numPr>
          <w:ilvl w:val="0"/>
          <w:numId w:val="8"/>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Grade 5</w:t>
      </w:r>
      <w:r w:rsidDel="00000000" w:rsidR="00000000" w:rsidRPr="00000000">
        <w:rPr>
          <w:rFonts w:ascii="Aref Ruqaa" w:cs="Aref Ruqaa" w:eastAsia="Aref Ruqaa" w:hAnsi="Aref Ruqaa"/>
          <w:sz w:val="24"/>
          <w:szCs w:val="24"/>
          <w:rtl w:val="0"/>
        </w:rPr>
        <w:t xml:space="preserve">: 15% of assessed buildings.</w:t>
      </w:r>
    </w:p>
    <w:p w:rsidR="00000000" w:rsidDel="00000000" w:rsidP="00000000" w:rsidRDefault="00000000" w:rsidRPr="00000000" w14:paraId="00000030">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t04bt9wey856" w:id="10"/>
      <w:bookmarkEnd w:id="10"/>
      <w:r w:rsidDel="00000000" w:rsidR="00000000" w:rsidRPr="00000000">
        <w:rPr>
          <w:rFonts w:ascii="Aref Ruqaa" w:cs="Aref Ruqaa" w:eastAsia="Aref Ruqaa" w:hAnsi="Aref Ruqaa"/>
          <w:b w:val="1"/>
          <w:bCs w:val="1"/>
          <w:color w:val="000000"/>
          <w:sz w:val="26"/>
          <w:szCs w:val="26"/>
          <w:rtl w:val="0"/>
        </w:rPr>
        <w:t xml:space="preserve">Common Damage Patterns:</w:t>
      </w:r>
    </w:p>
    <w:p w:rsidR="00000000" w:rsidDel="00000000" w:rsidP="00000000" w:rsidRDefault="00000000" w:rsidRPr="00000000" w14:paraId="00000031">
      <w:pPr>
        <w:numPr>
          <w:ilvl w:val="0"/>
          <w:numId w:val="5"/>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Structural Damage</w:t>
      </w:r>
      <w:r w:rsidDel="00000000" w:rsidR="00000000" w:rsidRPr="00000000">
        <w:rPr>
          <w:rFonts w:ascii="Aref Ruqaa" w:cs="Aref Ruqaa" w:eastAsia="Aref Ruqaa" w:hAnsi="Aref Ruqaa"/>
          <w:sz w:val="24"/>
          <w:szCs w:val="24"/>
          <w:rtl w:val="0"/>
        </w:rPr>
        <w:t xml:space="preserve">: Most prevalent in older buildings with inadequate maintenance. Significant cracks in load-bearing walls and signs of bowing were frequently observed.</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Water Damage</w:t>
      </w:r>
      <w:r w:rsidDel="00000000" w:rsidR="00000000" w:rsidRPr="00000000">
        <w:rPr>
          <w:rFonts w:ascii="Aref Ruqaa" w:cs="Aref Ruqaa" w:eastAsia="Aref Ruqaa" w:hAnsi="Aref Ruqaa"/>
          <w:sz w:val="24"/>
          <w:szCs w:val="24"/>
          <w:rtl w:val="0"/>
        </w:rPr>
        <w:t xml:space="preserve">: Many structures exhibited signs of severe water infiltration, leading to mold growth and further structural integrity issues.</w:t>
      </w:r>
    </w:p>
    <w:p w:rsidR="00000000" w:rsidDel="00000000" w:rsidP="00000000" w:rsidRDefault="00000000" w:rsidRPr="00000000" w14:paraId="00000033">
      <w:pPr>
        <w:numPr>
          <w:ilvl w:val="0"/>
          <w:numId w:val="5"/>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b w:val="1"/>
          <w:bCs w:val="1"/>
          <w:sz w:val="24"/>
          <w:szCs w:val="24"/>
          <w:rtl w:val="0"/>
        </w:rPr>
        <w:t xml:space="preserve">Foundation Issues</w:t>
      </w:r>
      <w:r w:rsidDel="00000000" w:rsidR="00000000" w:rsidRPr="00000000">
        <w:rPr>
          <w:rFonts w:ascii="Aref Ruqaa" w:cs="Aref Ruqaa" w:eastAsia="Aref Ruqaa" w:hAnsi="Aref Ruqaa"/>
          <w:sz w:val="24"/>
          <w:szCs w:val="24"/>
          <w:rtl w:val="0"/>
        </w:rPr>
        <w:t xml:space="preserve">: Misalignment of doors and windows, along with visible cracks in the foundation, indicated serious foundational problems.</w:t>
      </w:r>
    </w:p>
    <w:p w:rsidR="00000000" w:rsidDel="00000000" w:rsidP="00000000" w:rsidRDefault="00000000" w:rsidRPr="00000000" w14:paraId="00000034">
      <w:pPr>
        <w:pStyle w:val="Heading3"/>
        <w:keepNext w:val="0"/>
        <w:keepLines w:val="0"/>
        <w:spacing w:before="280" w:lineRule="auto"/>
        <w:rPr>
          <w:rFonts w:ascii="Aref Ruqaa" w:cs="Aref Ruqaa" w:eastAsia="Aref Ruqaa" w:hAnsi="Aref Ruqaa"/>
          <w:b w:val="1"/>
          <w:bCs w:val="1"/>
          <w:color w:val="000000"/>
          <w:sz w:val="26"/>
          <w:szCs w:val="26"/>
        </w:rPr>
      </w:pPr>
      <w:bookmarkStart w:colFirst="0" w:colLast="0" w:name="_6hqgm35qw1o4" w:id="11"/>
      <w:bookmarkEnd w:id="11"/>
      <w:r w:rsidDel="00000000" w:rsidR="00000000" w:rsidRPr="00000000">
        <w:rPr>
          <w:rFonts w:ascii="Aref Ruqaa" w:cs="Aref Ruqaa" w:eastAsia="Aref Ruqaa" w:hAnsi="Aref Ruqaa"/>
          <w:b w:val="1"/>
          <w:bCs w:val="1"/>
          <w:color w:val="000000"/>
          <w:sz w:val="26"/>
          <w:szCs w:val="26"/>
          <w:rtl w:val="0"/>
        </w:rPr>
        <w:t xml:space="preserve">Recommendations Based on Findings:</w:t>
      </w:r>
    </w:p>
    <w:p w:rsidR="00000000" w:rsidDel="00000000" w:rsidP="00000000" w:rsidRDefault="00000000" w:rsidRPr="00000000" w14:paraId="00000035">
      <w:pPr>
        <w:numPr>
          <w:ilvl w:val="0"/>
          <w:numId w:val="2"/>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Immediate structural assessments by engineers for Grade 3 and above.</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Prioritization of repairs in buildings classified as Grade 4 and 5 to prevent further casualties and loss of property.</w:t>
      </w:r>
    </w:p>
    <w:p w:rsidR="00000000" w:rsidDel="00000000" w:rsidP="00000000" w:rsidRDefault="00000000" w:rsidRPr="00000000" w14:paraId="00000037">
      <w:pPr>
        <w:numPr>
          <w:ilvl w:val="0"/>
          <w:numId w:val="2"/>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Increased funding and resource allocation from international donors to support reconstruction efforts.</w:t>
      </w:r>
    </w:p>
    <w:p w:rsidR="00000000" w:rsidDel="00000000" w:rsidP="00000000" w:rsidRDefault="00000000" w:rsidRPr="00000000" w14:paraId="00000038">
      <w:pPr>
        <w:pStyle w:val="Heading2"/>
        <w:keepNext w:val="0"/>
        <w:keepLines w:val="0"/>
        <w:spacing w:after="80" w:lineRule="auto"/>
        <w:rPr>
          <w:rFonts w:ascii="Aref Ruqaa" w:cs="Aref Ruqaa" w:eastAsia="Aref Ruqaa" w:hAnsi="Aref Ruqaa"/>
          <w:b w:val="1"/>
          <w:bCs w:val="1"/>
          <w:sz w:val="34"/>
          <w:szCs w:val="34"/>
        </w:rPr>
      </w:pPr>
      <w:bookmarkStart w:colFirst="0" w:colLast="0" w:name="_on7abffz463u" w:id="12"/>
      <w:bookmarkEnd w:id="12"/>
      <w:r w:rsidDel="00000000" w:rsidR="00000000" w:rsidRPr="00000000">
        <w:rPr>
          <w:rFonts w:ascii="Aref Ruqaa" w:cs="Aref Ruqaa" w:eastAsia="Aref Ruqaa" w:hAnsi="Aref Ruqaa"/>
          <w:b w:val="1"/>
          <w:bCs w:val="1"/>
          <w:sz w:val="34"/>
          <w:szCs w:val="34"/>
          <w:rtl w:val="0"/>
        </w:rPr>
        <w:t xml:space="preserve">Comments </w:t>
      </w:r>
    </w:p>
    <w:p w:rsidR="00000000" w:rsidDel="00000000" w:rsidP="00000000" w:rsidRDefault="00000000" w:rsidRPr="00000000" w14:paraId="00000039">
      <w:pPr>
        <w:spacing w:after="240" w:before="240" w:lineRule="auto"/>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The assessment highlights the critical need for standardized methodologies in evaluating building damage, particularly in conflict zones like Gaza. The discrepancies in data collection and the subjective nature of assessments can lead to inefficiencies in prioritizing reconstruction efforts. Additionally, the ongoing challenges posed by blockades and funding shortages must be addressed to facilitate timely and effective rebuilding initiatives.</w:t>
      </w:r>
    </w:p>
    <w:p w:rsidR="00000000" w:rsidDel="00000000" w:rsidP="00000000" w:rsidRDefault="00000000" w:rsidRPr="00000000" w14:paraId="0000003A">
      <w:pPr>
        <w:pStyle w:val="Heading2"/>
        <w:keepNext w:val="0"/>
        <w:keepLines w:val="0"/>
        <w:spacing w:after="80" w:lineRule="auto"/>
        <w:rPr>
          <w:rFonts w:ascii="Aref Ruqaa" w:cs="Aref Ruqaa" w:eastAsia="Aref Ruqaa" w:hAnsi="Aref Ruqaa"/>
          <w:b w:val="1"/>
          <w:bCs w:val="1"/>
          <w:sz w:val="34"/>
          <w:szCs w:val="34"/>
        </w:rPr>
      </w:pPr>
      <w:bookmarkStart w:colFirst="0" w:colLast="0" w:name="_weu3le969feq" w:id="13"/>
      <w:bookmarkEnd w:id="13"/>
      <w:r w:rsidDel="00000000" w:rsidR="00000000" w:rsidRPr="00000000">
        <w:rPr>
          <w:rFonts w:ascii="Aref Ruqaa" w:cs="Aref Ruqaa" w:eastAsia="Aref Ruqaa" w:hAnsi="Aref Ruqaa"/>
          <w:b w:val="1"/>
          <w:bCs w:val="1"/>
          <w:sz w:val="34"/>
          <w:szCs w:val="34"/>
          <w:rtl w:val="0"/>
        </w:rPr>
        <w:t xml:space="preserve">Conclusion </w:t>
      </w:r>
    </w:p>
    <w:p w:rsidR="00000000" w:rsidDel="00000000" w:rsidP="00000000" w:rsidRDefault="00000000" w:rsidRPr="00000000" w14:paraId="0000003B">
      <w:pPr>
        <w:spacing w:after="240" w:before="240" w:lineRule="auto"/>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In conclusion, the extensive damage to housing in Gaza necessitates a comprehensive and systematic approach to reconstruction. The findings of this assessment underline the urgency of addressing the most severely damaged structures while also establishing clear criteria for future evaluations. Collaborative efforts between local authorities, international donors, and reconstruction agencies are essential to ensure that resources are allocated effectively and that the housing needs of affected families are met.</w:t>
      </w:r>
    </w:p>
    <w:p w:rsidR="00000000" w:rsidDel="00000000" w:rsidP="00000000" w:rsidRDefault="00000000" w:rsidRPr="00000000" w14:paraId="0000003C">
      <w:pPr>
        <w:pStyle w:val="Heading2"/>
        <w:keepNext w:val="0"/>
        <w:keepLines w:val="0"/>
        <w:spacing w:after="80" w:lineRule="auto"/>
        <w:rPr>
          <w:rFonts w:ascii="Aref Ruqaa" w:cs="Aref Ruqaa" w:eastAsia="Aref Ruqaa" w:hAnsi="Aref Ruqaa"/>
          <w:b w:val="1"/>
          <w:bCs w:val="1"/>
          <w:sz w:val="34"/>
          <w:szCs w:val="34"/>
        </w:rPr>
      </w:pPr>
      <w:bookmarkStart w:colFirst="0" w:colLast="0" w:name="_ayq2kv7u9b8z" w:id="14"/>
      <w:bookmarkEnd w:id="14"/>
      <w:r w:rsidDel="00000000" w:rsidR="00000000" w:rsidRPr="00000000">
        <w:rPr>
          <w:rFonts w:ascii="Aref Ruqaa" w:cs="Aref Ruqaa" w:eastAsia="Aref Ruqaa" w:hAnsi="Aref Ruqaa"/>
          <w:b w:val="1"/>
          <w:bCs w:val="1"/>
          <w:sz w:val="34"/>
          <w:szCs w:val="34"/>
          <w:rtl w:val="0"/>
        </w:rPr>
        <w:t xml:space="preserve">References </w:t>
      </w:r>
    </w:p>
    <w:p w:rsidR="00000000" w:rsidDel="00000000" w:rsidP="00000000" w:rsidRDefault="00000000" w:rsidRPr="00000000" w14:paraId="0000003D">
      <w:pPr>
        <w:numPr>
          <w:ilvl w:val="0"/>
          <w:numId w:val="9"/>
        </w:numPr>
        <w:spacing w:after="0" w:afterAutospacing="0" w:before="24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European Committee for Standardization. (1998). </w:t>
      </w:r>
      <w:r w:rsidDel="00000000" w:rsidR="00000000" w:rsidRPr="00000000">
        <w:rPr>
          <w:rFonts w:ascii="Aref Ruqaa" w:cs="Aref Ruqaa" w:eastAsia="Aref Ruqaa" w:hAnsi="Aref Ruqaa"/>
          <w:b w:val="1"/>
          <w:bCs w:val="1"/>
          <w:sz w:val="24"/>
          <w:szCs w:val="24"/>
          <w:rtl w:val="0"/>
        </w:rPr>
        <w:t xml:space="preserve">Eurocode: Basis of structural design</w:t>
      </w:r>
      <w:r w:rsidDel="00000000" w:rsidR="00000000" w:rsidRPr="00000000">
        <w:rPr>
          <w:rFonts w:ascii="Aref Ruqaa" w:cs="Aref Ruqaa" w:eastAsia="Aref Ruqaa" w:hAnsi="Aref Ruqaa"/>
          <w:sz w:val="24"/>
          <w:szCs w:val="24"/>
          <w:rtl w:val="0"/>
        </w:rPr>
        <w:t xml:space="preserve">.</w:t>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United Nations Office for the Coordination of Humanitarian Affairs. (2022). </w:t>
      </w:r>
      <w:r w:rsidDel="00000000" w:rsidR="00000000" w:rsidRPr="00000000">
        <w:rPr>
          <w:rFonts w:ascii="Aref Ruqaa" w:cs="Aref Ruqaa" w:eastAsia="Aref Ruqaa" w:hAnsi="Aref Ruqaa"/>
          <w:b w:val="1"/>
          <w:bCs w:val="1"/>
          <w:sz w:val="24"/>
          <w:szCs w:val="24"/>
          <w:rtl w:val="0"/>
        </w:rPr>
        <w:t xml:space="preserve">Gaza: Humanitarian Needs Overview</w:t>
      </w:r>
      <w:r w:rsidDel="00000000" w:rsidR="00000000" w:rsidRPr="00000000">
        <w:rPr>
          <w:rFonts w:ascii="Aref Ruqaa" w:cs="Aref Ruqaa" w:eastAsia="Aref Ruqaa" w:hAnsi="Aref Ruqaa"/>
          <w:sz w:val="24"/>
          <w:szCs w:val="24"/>
          <w:rtl w:val="0"/>
        </w:rPr>
        <w:t xml:space="preserve">.</w:t>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World Bank. (2021). </w:t>
      </w:r>
      <w:r w:rsidDel="00000000" w:rsidR="00000000" w:rsidRPr="00000000">
        <w:rPr>
          <w:rFonts w:ascii="Aref Ruqaa" w:cs="Aref Ruqaa" w:eastAsia="Aref Ruqaa" w:hAnsi="Aref Ruqaa"/>
          <w:b w:val="1"/>
          <w:bCs w:val="1"/>
          <w:sz w:val="24"/>
          <w:szCs w:val="24"/>
          <w:rtl w:val="0"/>
        </w:rPr>
        <w:t xml:space="preserve">Economic Monitoring Report to the Ad Hoc Liaison Committee</w:t>
      </w:r>
      <w:r w:rsidDel="00000000" w:rsidR="00000000" w:rsidRPr="00000000">
        <w:rPr>
          <w:rFonts w:ascii="Aref Ruqaa" w:cs="Aref Ruqaa" w:eastAsia="Aref Ruqaa" w:hAnsi="Aref Ruqaa"/>
          <w:sz w:val="24"/>
          <w:szCs w:val="24"/>
          <w:rtl w:val="0"/>
        </w:rPr>
        <w:t xml:space="preserve">.</w:t>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Al Jazeera. (2022). </w:t>
      </w:r>
      <w:r w:rsidDel="00000000" w:rsidR="00000000" w:rsidRPr="00000000">
        <w:rPr>
          <w:rFonts w:ascii="Aref Ruqaa" w:cs="Aref Ruqaa" w:eastAsia="Aref Ruqaa" w:hAnsi="Aref Ruqaa"/>
          <w:b w:val="1"/>
          <w:bCs w:val="1"/>
          <w:sz w:val="24"/>
          <w:szCs w:val="24"/>
          <w:rtl w:val="0"/>
        </w:rPr>
        <w:t xml:space="preserve">Gaza’s reconstruction efforts: Challenges and opportunities</w:t>
      </w:r>
      <w:r w:rsidDel="00000000" w:rsidR="00000000" w:rsidRPr="00000000">
        <w:rPr>
          <w:rFonts w:ascii="Aref Ruqaa" w:cs="Aref Ruqaa" w:eastAsia="Aref Ruqaa" w:hAnsi="Aref Ruqaa"/>
          <w:sz w:val="24"/>
          <w:szCs w:val="24"/>
          <w:rtl w:val="0"/>
        </w:rPr>
        <w:t xml:space="preserve">.</w:t>
      </w:r>
    </w:p>
    <w:p w:rsidR="00000000" w:rsidDel="00000000" w:rsidP="00000000" w:rsidRDefault="00000000" w:rsidRPr="00000000" w14:paraId="00000041">
      <w:pPr>
        <w:numPr>
          <w:ilvl w:val="0"/>
          <w:numId w:val="9"/>
        </w:numPr>
        <w:spacing w:after="240" w:before="0" w:beforeAutospacing="0" w:lineRule="auto"/>
        <w:ind w:left="720" w:hanging="360"/>
        <w:rPr>
          <w:rFonts w:ascii="Aref Ruqaa" w:cs="Aref Ruqaa" w:eastAsia="Aref Ruqaa" w:hAnsi="Aref Ruqaa"/>
          <w:sz w:val="24"/>
          <w:szCs w:val="24"/>
        </w:rPr>
      </w:pPr>
      <w:r w:rsidDel="00000000" w:rsidR="00000000" w:rsidRPr="00000000">
        <w:rPr>
          <w:rFonts w:ascii="Aref Ruqaa" w:cs="Aref Ruqaa" w:eastAsia="Aref Ruqaa" w:hAnsi="Aref Ruqaa"/>
          <w:sz w:val="24"/>
          <w:szCs w:val="24"/>
          <w:rtl w:val="0"/>
        </w:rPr>
        <w:t xml:space="preserve">International Federation of Red Cross and Red Crescent Societies. (2023). </w:t>
      </w:r>
      <w:r w:rsidDel="00000000" w:rsidR="00000000" w:rsidRPr="00000000">
        <w:rPr>
          <w:rFonts w:ascii="Aref Ruqaa" w:cs="Aref Ruqaa" w:eastAsia="Aref Ruqaa" w:hAnsi="Aref Ruqaa"/>
          <w:b w:val="1"/>
          <w:bCs w:val="1"/>
          <w:sz w:val="24"/>
          <w:szCs w:val="24"/>
          <w:rtl w:val="0"/>
        </w:rPr>
        <w:t xml:space="preserve">Disaster response and recovery in Gaza</w:t>
      </w:r>
      <w:r w:rsidDel="00000000" w:rsidR="00000000" w:rsidRPr="00000000">
        <w:rPr>
          <w:rFonts w:ascii="Aref Ruqaa" w:cs="Aref Ruqaa" w:eastAsia="Aref Ruqaa" w:hAnsi="Aref Ruqaa"/>
          <w:sz w:val="24"/>
          <w:szCs w:val="24"/>
          <w:rtl w:val="0"/>
        </w:rPr>
        <w:t xml:space="preserve">.</w:t>
      </w:r>
      <w:r w:rsidDel="00000000" w:rsidR="00000000" w:rsidRPr="00000000">
        <w:rPr>
          <w:rtl w:val="0"/>
        </w:rPr>
      </w:r>
    </w:p>
    <w:p w:rsidR="00000000" w:rsidDel="00000000" w:rsidP="00000000" w:rsidRDefault="00000000" w:rsidRPr="00000000" w14:paraId="00000042">
      <w:pPr>
        <w:spacing w:after="240" w:before="240" w:lineRule="auto"/>
        <w:ind w:left="0" w:firstLine="0"/>
        <w:jc w:val="left"/>
        <w:rPr>
          <w:rFonts w:ascii="Comic Sans MS" w:cs="Comic Sans MS" w:eastAsia="Comic Sans MS" w:hAnsi="Comic Sans MS"/>
          <w:b w:val="1"/>
          <w:bCs w:val="1"/>
          <w:sz w:val="34"/>
          <w:szCs w:val="34"/>
          <w:shd w:fill="f3f3f3" w:val="clear"/>
        </w:rPr>
      </w:pPr>
      <w:r w:rsidDel="00000000" w:rsidR="00000000" w:rsidRPr="00000000">
        <w:rPr>
          <w:rtl w:val="0"/>
        </w:rPr>
      </w:r>
    </w:p>
    <w:p w:rsidR="00000000" w:rsidDel="00000000" w:rsidP="00000000" w:rsidRDefault="00000000" w:rsidRPr="00000000" w14:paraId="00000043">
      <w:pPr>
        <w:bidi w:val="1"/>
        <w:spacing w:after="240" w:before="240" w:lineRule="auto"/>
        <w:rPr>
          <w:rFonts w:ascii="Comic Sans MS" w:cs="Comic Sans MS" w:eastAsia="Comic Sans MS" w:hAnsi="Comic Sans MS"/>
          <w:b w:val="1"/>
          <w:bCs w:val="1"/>
          <w:sz w:val="34"/>
          <w:szCs w:val="34"/>
          <w:shd w:fill="f3f3f3" w:val="clear"/>
        </w:rPr>
      </w:pPr>
      <w:r w:rsidDel="00000000" w:rsidR="00000000" w:rsidRPr="00000000">
        <w:rPr>
          <w:rtl w:val="0"/>
        </w:rPr>
      </w:r>
    </w:p>
    <w:sectPr>
      <w:headerReference r:id="rId11" w:type="first"/>
      <w:footerReference r:id="rId12" w:type="first"/>
      <w:pgSz w:h="16834" w:w="11909" w:orient="portrait"/>
      <w:pgMar w:bottom="1440" w:top="1440" w:left="566.9291338582677"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 w:name="Aref Ruq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ArefRuqaa-regular.ttf"/><Relationship Id="rId2" Type="http://schemas.openxmlformats.org/officeDocument/2006/relationships/font" Target="fonts/ArefRuq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