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36"/>
          <w:szCs w:val="36"/>
        </w:rPr>
        <w:t xml:space="preserve">Rámcová dohoda o poskytovaní poradenských služieb</w:t>
      </w:r>
    </w:p>
    <w:p>
      <w:pPr>
        <w:spacing w:after="100"/>
      </w:pPr>
      <w:r>
        <w:rPr>
          <w:color w:val="555555"/>
          <w:sz w:val="24"/>
          <w:szCs w:val="24"/>
        </w:rPr>
        <w:t xml:space="preserve">a nadväzujúce zmluvy Sociálnej poisťovne — prehľad z Centrálneho registra zmlúv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Zdroj: crz.gov.sk  ·  Stav k 22.9.2026</w:t>
      </w:r>
    </w:p>
    <w:p>
      <w:pPr>
        <w:pStyle w:val="Heading1"/>
        <w:spacing w:after="150" w:before="300"/>
      </w:pPr>
      <w:r>
        <w:t xml:space="preserve">1. Rámcová dohoda (RZ)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„Rámcová dohoda o poskytovaní poradenských služieb“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Odkaz CRZ</w:t>
            </w:r>
          </w:p>
        </w:tc>
        <w:tc>
          <w:tcPr>
            <w:tcW w:type="dxa" w:w="6160"/>
          </w:tcPr>
          <w:p>
            <w:hyperlink w:history="1" r:id="rIdlxf7gzmfcxwjagstmm-rm">
              <w:r>
                <w:rPr>
                  <w:rStyle w:val="Hyperlink"/>
                  <w:u w:val="single"/>
                </w:rPr>
                <w:t xml:space="preserve">crz.gov.sk/zmluva/11560701</w:t>
              </w:r>
            </w:hyperlink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Spisové číslo</w:t>
            </w:r>
          </w:p>
        </w:tc>
        <w:tc>
          <w:tcPr>
            <w:tcW w:type="dxa" w:w="6160"/>
          </w:tcPr>
          <w:p>
            <w:r>
              <w:t xml:space="preserve">17634/2024-M_PK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Záznamové číslo</w:t>
            </w:r>
          </w:p>
        </w:tc>
        <w:tc>
          <w:tcPr>
            <w:tcW w:type="dxa" w:w="6160"/>
          </w:tcPr>
          <w:p>
            <w:r>
              <w:t xml:space="preserve">119400/2024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Objednávateľ</w:t>
            </w:r>
          </w:p>
        </w:tc>
        <w:tc>
          <w:tcPr>
            <w:tcW w:type="dxa" w:w="6160"/>
          </w:tcPr>
          <w:p>
            <w:r>
              <w:t xml:space="preserve">Ministerstvo práce, sociálnych vecí a rodiny SR (centrálna obstarávacia organizácia)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Uzavretá / účinná</w:t>
            </w:r>
          </w:p>
        </w:tc>
        <w:tc>
          <w:tcPr>
            <w:tcW w:type="dxa" w:w="6160"/>
          </w:tcPr>
          <w:p>
            <w:r>
              <w:t xml:space="preserve">6.11.2025 / 8.11.2025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Trvanie</w:t>
            </w:r>
          </w:p>
        </w:tc>
        <w:tc>
          <w:tcPr>
            <w:tcW w:type="dxa" w:w="6160"/>
          </w:tcPr>
          <w:p>
            <w:r>
              <w:t xml:space="preserve">48 mesiacov alebo do vyčerpania maximálnej ceny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Maximálna cena (spolu, všetci poskytovatelia)</w:t>
            </w:r>
          </w:p>
        </w:tc>
        <w:tc>
          <w:tcPr>
            <w:tcW w:type="dxa" w:w="6160"/>
          </w:tcPr>
          <w:p>
            <w:r>
              <w:t xml:space="preserve">43 024 097,43 € bez DPH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Poskytovatelia (5)</w:t>
            </w:r>
          </w:p>
        </w:tc>
        <w:tc>
          <w:tcPr>
            <w:tcW w:type="dxa" w:w="6160"/>
          </w:tcPr>
          <w:p>
            <w:r>
              <w:t xml:space="preserve">Ernst &amp; Young, s.r.o.; skupina (Kreston Slovakia Technology + CLA Slovakia + Alistiq); stengl a.s.; KPMG Slovensko Advisory, k.s.; Radvise Group, s.r.o.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Prijímatelia</w:t>
            </w:r>
          </w:p>
        </w:tc>
        <w:tc>
          <w:tcPr>
            <w:tcW w:type="dxa" w:w="6160"/>
          </w:tcPr>
          <w:p>
            <w:r>
              <w:t xml:space="preserve">rozpočtové a príspevkové organizácie MPSVR SR, Sociálna poisťovňa, ich podriadené organizácie a nimi vlastnené právnické osoby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  <w:i w:val="false"/>
          <w:iCs w:val="false"/>
        </w:rPr>
        <w:t xml:space="preserve">Rozsah predmetu (Príloha č. 1) — dve oblasti poradenských služieb: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Audit, kontrola, evaluácia, výkonnosť — audítorské overenia účtovných závierok, poradenstvo pri oceňovaní majetku a záväzkov, audit efektívnosti a hospodárnosti, audit čerpania dotácií a projektov, kontrolné a riadiace systémy, evaluácia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Analytické činnosti a procesy — hodnotenie rizík, procesné analýzy, analýzy nákladov a prínosov (CBA), optimalizácia procesov, KPI, LEAN management, HR analýzy, riadiaca/prevádzková dokumentácia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Realizačné zmluvy sa uzatvárajú formou „zadávania čiastkovej zákazky“ — mini-tendra medzi piatimi poskytovateľmi rámcovej dohody, podľa § 83 ods. 5 písm. b) zákona o verejnom obstarávaní.</w:t>
      </w:r>
    </w:p>
    <w:p>
      <w:pPr>
        <w:pStyle w:val="Heading2"/>
        <w:spacing w:after="150" w:before="300"/>
      </w:pPr>
      <w:r>
        <w:t xml:space="preserve">Dodatok č. 1 (19.12.2025)</w:t>
      </w:r>
    </w:p>
    <w:p>
      <w:pPr>
        <w:spacing w:after="150"/>
      </w:pPr>
      <w:r>
        <w:t xml:space="preserve">Odkaz CRZ: </w:t>
      </w:r>
      <w:hyperlink w:history="1" r:id="rIdqrnxpcejabhmos-5lsm2a">
        <w:r>
          <w:rPr>
            <w:rStyle w:val="Hyperlink"/>
            <w:u w:val="single"/>
          </w:rPr>
          <w:t xml:space="preserve">crz.gov.sk/zmluva/11782946</w:t>
        </w:r>
      </w:hyperlink>
      <w:r>
        <w:t xml:space="preserve"> — spis. VOB/217/2025-M_ORVO, záznam 126751/2025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Čisto administratívny dodatok — zosúladenie zverejneného a podpísaného znenia rámcovej dohody a navýšenie počtu „ďalších expertov na plnenie“ na 7. Rozsah ani predmet dohody sa nemení.</w:t>
      </w:r>
    </w:p>
    <w:p>
      <w:pPr>
        <w:pStyle w:val="Heading1"/>
        <w:spacing w:after="150" w:before="300"/>
      </w:pPr>
      <w:r>
        <w:t xml:space="preserve">2. Pristúpenie Sociálnej poisťovne k rámcovej dohode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18.5.2026, účinné 20.5.2026. Publikované dvakrát v CRZ — samostatne za MPSVR a samostatne za Sociálnu poisťovňu.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Odkaz CRZ (MPSVR)</w:t>
            </w:r>
          </w:p>
        </w:tc>
        <w:tc>
          <w:tcPr>
            <w:tcW w:type="dxa" w:w="6160"/>
          </w:tcPr>
          <w:p>
            <w:hyperlink w:history="1" r:id="rIdohllaabjaug6xwzsveyek">
              <w:r>
                <w:rPr>
                  <w:rStyle w:val="Hyperlink"/>
                  <w:u w:val="single"/>
                </w:rPr>
                <w:t xml:space="preserve">crz.gov.sk/zmluva/12362833</w:t>
              </w:r>
            </w:hyperlink>
            <w:r>
              <w:t xml:space="preserve"> — 48502/2026, 7192/2026-M_PK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Odkaz CRZ (SP)</w:t>
            </w:r>
          </w:p>
        </w:tc>
        <w:tc>
          <w:tcPr>
            <w:tcW w:type="dxa" w:w="6160"/>
          </w:tcPr>
          <w:p>
            <w:hyperlink w:history="1" r:id="rIdydcmt1rhfqatmbibefv7c">
              <w:r>
                <w:rPr>
                  <w:rStyle w:val="Hyperlink"/>
                  <w:u w:val="single"/>
                </w:rPr>
                <w:t xml:space="preserve">crz.gov.sk/zmluva/12377657</w:t>
              </w:r>
            </w:hyperlink>
            <w:r>
              <w:t xml:space="preserve"> — 11177-6/2026-BA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Maximálny rozsah plnenia pre SP</w:t>
            </w:r>
          </w:p>
        </w:tc>
        <w:tc>
          <w:tcPr>
            <w:tcW w:type="dxa" w:w="6160"/>
          </w:tcPr>
          <w:p>
            <w:r>
              <w:t xml:space="preserve">15 000 000 € bez DPH  (= 18 450 000 € s DPH — odtiaľ rozdielna suma uvedená v dvoch záznamoch CRZ)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Sociálna poisťovňa sa touto dohodou stáva „Prijímateľom“ a môže uzatvárať vlastné realizačné zmluvy s ktorýmkoľvek z piatich poskytovateľov rámcovej dohody.</w:t>
      </w:r>
    </w:p>
    <w:p>
      <w:pPr>
        <w:spacing w:after="200"/>
      </w:pPr>
      <w:r>
        <w:rPr>
          <w:b/>
          <w:bCs/>
          <w:i/>
          <w:iCs/>
        </w:rPr>
        <w:t xml:space="preserve">Poznámka: </w:t>
      </w:r>
      <w:r>
        <w:rPr>
          <w:i/>
          <w:iCs/>
        </w:rPr>
        <w:t xml:space="preserve">záznam 7192/2026-M_PK, 48503/2026 je samostatné pristúpenie Národného inšpektorátu práce (max. rozsah 500 000 €) — netýka sa priamo Sociálnej poisťovne, ilustruje len postupné pristupovanie ďalších inštitúcií k rámcovej dohode.</w:t>
      </w:r>
    </w:p>
    <w:p>
      <w:pPr>
        <w:pStyle w:val="Heading1"/>
        <w:spacing w:after="150" w:before="300"/>
      </w:pPr>
      <w:r>
        <w:t xml:space="preserve">3. Realizačné zmluvy Sociálnej poisťovne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Zverejnené v CRZ k 22.9.2026 (2 zmluvy):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100"/>
        <w:gridCol w:w="5600"/>
        <w:gridCol w:w="1400"/>
        <w:gridCol w:w="15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Č.</w:t>
            </w:r>
          </w:p>
        </w:tc>
        <w:tc>
          <w:tcPr>
            <w:tcW w:type="dxa" w:w="23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Zmluva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Dodávateľ</w:t>
            </w:r>
          </w:p>
        </w:tc>
        <w:tc>
          <w:tcPr>
            <w:tcW w:type="dxa" w:w="5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Predmet / rozsah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Trvanie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Cena s DPH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BA-687608/2026
(31.7.2026)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stengl a.s.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Podpora a poradenstvo pre ďalší rozvoj životných situácií a súvisiacich procesov v SP — procesné a dátové analýzy, revízia dokumentácie, zefektívnenie procesov riešenia žiadostí/dávok. 20 expertov, 18 300 hod.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12 mesiacov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1 098 144 €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BA-774503/2026
(26.8.2026)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KPMG Slovensko Advisory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Podpora pri posilnení riadenia projektov a programov v SP (vrátane projektov Plánu obnovy a odolnosti) — metodická/analytická podpora projektového riadenia, bez prevzatia rozhodovacích právomocí. 6 expertov, 6 500 hod.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8 mesiacov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375 765 €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 w:val="false"/>
          <w:bCs w:val="false"/>
          <w:i/>
          <w:iCs/>
        </w:rPr>
        <w:t xml:space="preserve">Realizačná zmluva č. 1 sa v CRZ pod Sociálnou poisťovňou nepodarilo nájsť — buď ešte nebola zverejnená, alebo bola uzavretá pod iným číslom.</w:t>
      </w:r>
    </w:p>
    <w:p>
      <w:pPr>
        <w:spacing w:after="200" w:before="150"/>
      </w:pPr>
      <w:r>
        <w:rPr>
          <w:b/>
          <w:bCs/>
        </w:rPr>
        <w:t xml:space="preserve">Súčet doteraz vyčerpaného rozsahu SP: </w:t>
      </w:r>
      <w:r>
        <w:t xml:space="preserve">375 765 € + 1 098 144 € = </w:t>
      </w:r>
      <w:r>
        <w:rPr>
          <w:b/>
          <w:bCs/>
        </w:rPr>
        <w:t xml:space="preserve">1 473 909 €</w:t>
      </w:r>
      <w:r>
        <w:t xml:space="preserve"> z limitu 15 000 000 € bez DPH (18 450 000 € s DPH).</w:t>
      </w:r>
    </w:p>
    <w:p>
      <w:pPr>
        <w:pStyle w:val="Heading1"/>
        <w:spacing w:after="150" w:before="300"/>
      </w:pPr>
      <w:r>
        <w:t xml:space="preserve">4. Ostatné (nesúvisiace, len pre kontext)</w:t>
      </w:r>
    </w:p>
    <w:p>
      <w:pPr>
        <w:spacing w:after="300"/>
      </w:pPr>
      <w:r>
        <w:t xml:space="preserve">Zmluva o dielo s Ernst &amp; Young, s.r.o. (248 337 €, návrh a implementácia systému rodovo neutrálneho odmeňovania) </w:t>
      </w:r>
      <w:r>
        <w:rPr>
          <w:b/>
          <w:bCs/>
        </w:rPr>
        <w:t xml:space="preserve">NIE JE</w:t>
      </w:r>
      <w:r>
        <w:t xml:space="preserve"> súčasťou tejto rámcovej dohody — ide o samostatné verejné obstarávanie podľa § 108 zákona o verejnom obstarávaní.</w:t>
      </w:r>
    </w:p>
    <w:p>
      <w:pPr>
        <w:pBdr>
          <w:top w:val="single" w:color="AAAAAA" w:sz="6"/>
        </w:pBdr>
        <w:spacing w:before="200"/>
      </w:pPr>
      <w:r>
        <w:rPr>
          <w:i/>
          <w:iCs/>
          <w:color w:val="888888"/>
          <w:sz w:val="18"/>
          <w:szCs w:val="18"/>
        </w:rPr>
        <w:t xml:space="preserve">Zdroj: Centrálny register zmlúv (crz.gov.sk). Dokument pripravený na základe verejne dostupných zmlúv, výskum vykonaný 22.9.2026.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xf7gzmfcxwjagstmm-rm" Type="http://schemas.openxmlformats.org/officeDocument/2006/relationships/hyperlink" Target="https://crz.gov.sk/zmluva/11560701/" TargetMode="External"/><Relationship Id="rIdqrnxpcejabhmos-5lsm2a" Type="http://schemas.openxmlformats.org/officeDocument/2006/relationships/hyperlink" Target="https://crz.gov.sk/zmluva/11782946/" TargetMode="External"/><Relationship Id="rIdohllaabjaug6xwzsveyek" Type="http://schemas.openxmlformats.org/officeDocument/2006/relationships/hyperlink" Target="https://crz.gov.sk/zmluva/12362833/" TargetMode="External"/><Relationship Id="rIdydcmt1rhfqatmbibefv7c" Type="http://schemas.openxmlformats.org/officeDocument/2006/relationships/hyperlink" Target="https://crz.gov.sk/zmluva/12377657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2026-09-22T13:53:04.565Z</dcterms:created>
  <dcterms:modified xsi:type="dcterms:W3CDTF">2026-09-22T13:53:04.567Z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