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报销管理制度</w:t>
      </w:r>
    </w:p>
    <w:p>
      <w:r>
        <w:t>所有报销须在费用发生后30日内提交。</w:t>
      </w:r>
    </w:p>
    <w:p>
      <w:r>
        <w:t>单笔超过5000元的报销须部门负责人与财务总监双签。</w:t>
      </w:r>
    </w:p>
    <w:p>
      <w:r>
        <w:t>发票须真实、合法，与业务一致。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