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报销管理制度</w:t>
      </w:r>
    </w:p>
    <w:p>
      <w:r>
        <w:t>第一章 总则：为规范公司费用报销管理，合理控制成本，防范财务风险，根据《中华人民共和国会计法》《企业会计准则》及相关税收法规，制定本制度。本制度适用于公司全体员工因公产生的各项费用报销，涵盖差旅费、业务招待费、办公费、培训费、通讯费及其他经审批的合理经营性支出。</w:t>
      </w:r>
    </w:p>
    <w:p>
      <w:r>
        <w:t>第二章 报销基本原则：所有报销须遵循真实、合法、合理、及时四项原则。真实性指费用确因公发生，不得虚构、虚增；合法性指票据和业务内容符合国家法律法规；合理性指费用在规定的标准范围内且与业务需要相匹配；及时性指在规定时限内完成报销申请。</w:t>
      </w:r>
    </w:p>
    <w:p>
      <w:r>
        <w:t>第三章 发票管理：所有报销须提供真实、合法、有效的税务发票或财政票据。增值税专用发票须注明公司全称（示例科技有限公司）及纳税人识别号（91110108MA01XXXXX）。发票内容须与实际业务一致，不得篡改、涂改。电子发票（PDF/OFD格式）与纸质发票具有同等法律效力。发票遗失的，须提供开票方盖章的发票记账联复印件及遗失情况书面说明，经财务总监审批后方可报销。单张发票金额超过 5000 元的，经办人须附采购合同或服务协议复印件。发票日期须在业务发生后 30 日内，跨年度发票须在次年 1 月 15 日前完成报销。</w:t>
      </w:r>
    </w:p>
    <w:p>
      <w:r>
        <w:t>第四章 报销时效：差旅费须在出差返回后 5 个工作日内提交报销申请，最长不超过 10 个工作日。日常费用须在发生后 30 日内提交。逾期未报的，须书面说明原因并经部门负责人审批。跨年度费用须在次年 1 月 15 日前提交，1 月 15 日后不再受理上年度费用报销。财务部每月 15 日和 30 日为集中付款日，遇节假日顺延。</w:t>
      </w:r>
    </w:p>
    <w:p>
      <w:r>
        <w:t>第五章 审批权限与流程：单笔报销金额在 500 元（含）以内的，由直属主管一级审批。500 元至 5000 元（含）的，由部门负责人审批。5000 元至 50000 元（含）的，须部门负责人和财务总监双签审批。50000 元以上的，须部门负责人、财务总监和总经理三级审批。业务招待费不论金额大小，均须注明招待对象单位名称、职务、人数、事由及参与人员，并由部门负责人审批。涉及关联交易的报销须财务总监专项审批。</w:t>
      </w:r>
    </w:p>
    <w:p>
      <w:r>
        <w:t>第六章 差旅费管理：交通工具标准：高铁车程 5 小时以内的，乘坐高铁二等座；超过 5 小时的可乘坐飞机经济舱；副总及以上管理人员可乘坐商务舱。住宿标准按出差城市级别执行（详见《差旅报销标准表》），超出标准部分由个人承担。出差期间的市内交通和餐饮补贴按标准包干发放，不需发票。出差人员应合理规划行程，减少不必要的差旅支出。</w:t>
      </w:r>
    </w:p>
    <w:p>
      <w:r>
        <w:t>第七章 费用标准管理：各部门应严格控制费用支出，在年度预算内合理安排。财务部每季度对各部门费用执行情况进行分析通报。年度预算执行率超过 110% 的部门，超出部分须报总经理专项审批。财务部每年根据物价指数和公司经营情况对费用标准进行审视，提出调整建议报管理层审批。</w:t>
      </w:r>
    </w:p>
    <w:p>
      <w:r>
        <w:t>第八章 违规责任：虚报、伪造票据报销的，一经查实收回款项并处以虚报金额 3 倍罚款，视情节给予警告至解除劳动合同处分。审批人对报销的真实性负有审核责任，审批人明知或应知虚假报销仍批准通过的，承担连带责任。部门一个季度内发生 2 次以上违规报销的，部门负责人年终绩效降一级。情节严重的，移送司法机关处理。</w:t>
      </w:r>
    </w:p>
    <w:p>
      <w:r>
        <w:t>第九章 附则：本制度由财务部负责解释和修订。本制度自发布之日起施行，此前相关规定与本制度不一致的，以本制度为准。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