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2FB5777F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linkedin.com/in/dave-t-hancock/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6D4C400D" w14:textId="62860D55" w:rsidR="000E6823" w:rsidRPr="00AA4A1C" w:rsidRDefault="000E6823" w:rsidP="002577CF">
      <w:pPr>
        <w:spacing w:after="0"/>
        <w:contextualSpacing/>
        <w:jc w:val="both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Highly skilled and dedicated Special Forces Medical Sergeant</w:t>
      </w:r>
      <w:r w:rsidR="006B62B7" w:rsidRPr="00AA4A1C">
        <w:rPr>
          <w:rFonts w:ascii="Segoe UI" w:hAnsi="Segoe UI" w:cs="Segoe UI"/>
          <w:sz w:val="20"/>
          <w:szCs w:val="20"/>
        </w:rPr>
        <w:t xml:space="preserve"> and </w:t>
      </w:r>
      <w:r w:rsidR="00BD627F" w:rsidRPr="00AA4A1C">
        <w:rPr>
          <w:rFonts w:ascii="Segoe UI" w:hAnsi="Segoe UI" w:cs="Segoe UI"/>
          <w:sz w:val="20"/>
          <w:szCs w:val="20"/>
        </w:rPr>
        <w:t>MSSA</w:t>
      </w:r>
      <w:r w:rsidR="006B62B7" w:rsidRPr="00AA4A1C">
        <w:rPr>
          <w:rFonts w:ascii="Segoe UI" w:hAnsi="Segoe UI" w:cs="Segoe UI"/>
          <w:sz w:val="20"/>
          <w:szCs w:val="20"/>
        </w:rPr>
        <w:t xml:space="preserve"> participant</w:t>
      </w:r>
      <w:r w:rsidRPr="00AA4A1C">
        <w:rPr>
          <w:rFonts w:ascii="Segoe UI" w:hAnsi="Segoe UI" w:cs="Segoe UI"/>
          <w:sz w:val="20"/>
          <w:szCs w:val="20"/>
        </w:rPr>
        <w:t xml:space="preserve"> with a</w:t>
      </w:r>
      <w:r w:rsidR="005A36E8" w:rsidRPr="00AA4A1C">
        <w:rPr>
          <w:rFonts w:ascii="Segoe UI" w:hAnsi="Segoe UI" w:cs="Segoe UI"/>
          <w:sz w:val="20"/>
          <w:szCs w:val="20"/>
        </w:rPr>
        <w:t xml:space="preserve">n appetite </w:t>
      </w:r>
      <w:r w:rsidRPr="00AA4A1C">
        <w:rPr>
          <w:rFonts w:ascii="Segoe UI" w:hAnsi="Segoe UI" w:cs="Segoe UI"/>
          <w:sz w:val="20"/>
          <w:szCs w:val="20"/>
        </w:rPr>
        <w:t xml:space="preserve">for </w:t>
      </w:r>
      <w:r w:rsidR="005A36E8" w:rsidRPr="00AA4A1C">
        <w:rPr>
          <w:rFonts w:ascii="Segoe UI" w:hAnsi="Segoe UI" w:cs="Segoe UI"/>
          <w:sz w:val="20"/>
          <w:szCs w:val="20"/>
        </w:rPr>
        <w:t xml:space="preserve">learning </w:t>
      </w:r>
      <w:r w:rsidRPr="00AA4A1C">
        <w:rPr>
          <w:rFonts w:ascii="Segoe UI" w:hAnsi="Segoe UI" w:cs="Segoe UI"/>
          <w:sz w:val="20"/>
          <w:szCs w:val="20"/>
        </w:rPr>
        <w:t>information technology and software development. Equipped with years of experience while operating in both high-pressure and casual, team-oriented environments. Skilled in problem-solving, cross-functional coordination, and passionate about fostering teamwork to achieve goals through thoughtful planning and execution.</w:t>
      </w:r>
    </w:p>
    <w:p w14:paraId="56F9B818" w14:textId="2B5A579C" w:rsidR="00C65C33" w:rsidRPr="00AA4A1C" w:rsidRDefault="00A3587D" w:rsidP="00A3587D">
      <w:pPr>
        <w:spacing w:after="0"/>
        <w:ind w:firstLine="720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C65C33" w:rsidRPr="00AA4A1C">
        <w:rPr>
          <w:rFonts w:ascii="Segoe UI" w:hAnsi="Segoe UI" w:cs="Segoe UI"/>
          <w:sz w:val="20"/>
          <w:szCs w:val="20"/>
        </w:rPr>
        <w:t>C#</w:t>
      </w:r>
      <w:r w:rsidR="00C65C33" w:rsidRPr="00AA4A1C">
        <w:rPr>
          <w:rFonts w:ascii="Segoe UI" w:hAnsi="Segoe UI" w:cs="Segoe UI"/>
          <w:sz w:val="20"/>
          <w:szCs w:val="20"/>
        </w:rPr>
        <w:tab/>
      </w: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C65C33" w:rsidRPr="00AA4A1C">
        <w:rPr>
          <w:rFonts w:ascii="Segoe UI" w:hAnsi="Segoe UI" w:cs="Segoe UI"/>
          <w:sz w:val="20"/>
          <w:szCs w:val="20"/>
        </w:rPr>
        <w:t>Area to point out skills found in job posting</w:t>
      </w:r>
      <w:r w:rsidRPr="00AA4A1C">
        <w:rPr>
          <w:rFonts w:ascii="Segoe UI" w:hAnsi="Segoe UI" w:cs="Segoe UI"/>
          <w:sz w:val="20"/>
          <w:szCs w:val="20"/>
        </w:rPr>
        <w:t xml:space="preserve"> (insert, symbols, </w:t>
      </w:r>
      <w:r w:rsidR="00DA053A" w:rsidRPr="00AA4A1C">
        <w:rPr>
          <w:rFonts w:ascii="Segoe UI" w:hAnsi="Segoe UI" w:cs="Segoe UI"/>
          <w:sz w:val="20"/>
          <w:szCs w:val="20"/>
        </w:rPr>
        <w:t>geometric shapes)</w:t>
      </w:r>
    </w:p>
    <w:p w14:paraId="068365D5" w14:textId="77777777" w:rsidR="00A172A6" w:rsidRPr="00AA4A1C" w:rsidRDefault="00A172A6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154FD5E5" w14:textId="151C84A5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Experience coding in C#</w:t>
      </w:r>
      <w:r w:rsidR="00640848">
        <w:rPr>
          <w:rFonts w:ascii="Segoe UI" w:hAnsi="Segoe UI" w:cs="Segoe UI"/>
          <w:sz w:val="20"/>
          <w:szCs w:val="20"/>
        </w:rPr>
        <w:t>, using Visual Studio and Visual Studio Code</w:t>
      </w:r>
    </w:p>
    <w:p w14:paraId="6492B3A5" w14:textId="560EA071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Experience with Unity game development engine</w:t>
      </w:r>
    </w:p>
    <w:p w14:paraId="33FF4D68" w14:textId="6A723C85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Multi-lingual—English, German (Novice-Intermediate), Thai (Novice)</w:t>
      </w:r>
    </w:p>
    <w:p w14:paraId="5D9C7E9A" w14:textId="45726AEE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Integrates well in diverse teams, comfortable working in team arrangements</w:t>
      </w:r>
    </w:p>
    <w:p w14:paraId="3E2BAAE4" w14:textId="41AE0730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DD59AF">
        <w:rPr>
          <w:rFonts w:ascii="Segoe UI" w:hAnsi="Segoe UI" w:cs="Segoe UI"/>
          <w:sz w:val="20"/>
          <w:szCs w:val="20"/>
        </w:rPr>
        <w:t>Active TS/SCI Clearance</w:t>
      </w:r>
    </w:p>
    <w:p w14:paraId="134D5956" w14:textId="6BB97A6F" w:rsidR="00A172A6" w:rsidRPr="00AA4A1C" w:rsidRDefault="00B23E6D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Developed</w:t>
      </w:r>
    </w:p>
    <w:p w14:paraId="631187F0" w14:textId="77777777" w:rsidR="001353FF" w:rsidRPr="00AA4A1C" w:rsidRDefault="001353FF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18631AC2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2025—Present</w:t>
      </w:r>
    </w:p>
    <w:p w14:paraId="79352EF1" w14:textId="77777777" w:rsidR="00BF5F1A" w:rsidRPr="00AA4A1C" w:rsidRDefault="00BF5F1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Participant</w:t>
      </w:r>
    </w:p>
    <w:p w14:paraId="0856C0BA" w14:textId="4FEDBB06" w:rsidR="00BF5F1A" w:rsidRPr="00AA4A1C" w:rsidRDefault="00BF5F1A" w:rsidP="00BF5F1A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 xml:space="preserve">MSSA combines technical curriculum with professional skills training, so program graduates are equipped with </w:t>
      </w:r>
      <w:r w:rsidR="00A14D21" w:rsidRPr="00AA4A1C">
        <w:rPr>
          <w:rFonts w:ascii="Segoe UI" w:hAnsi="Segoe UI" w:cs="Segoe UI"/>
          <w:i/>
          <w:iCs/>
          <w:sz w:val="20"/>
          <w:szCs w:val="20"/>
        </w:rPr>
        <w:t>comprehensive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knowledge to be competitive for entry-level technical roles throughout the ID industry.</w:t>
      </w:r>
    </w:p>
    <w:p w14:paraId="1156185F" w14:textId="77777777" w:rsidR="003E3765" w:rsidRPr="00AA4A1C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032C45B6" w14:textId="77777777" w:rsidR="00BF5F1A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Developed proficiency in modern software engineering principles such as Object-Oriented Programming, data structures and algorithms, data integration and manipulation, and C# application programming.</w:t>
      </w:r>
      <w:r w:rsidRPr="00AA4A1C">
        <w:rPr>
          <w:rFonts w:ascii="Segoe UI" w:hAnsi="Segoe UI" w:cs="Segoe UI"/>
          <w:sz w:val="20"/>
          <w:szCs w:val="20"/>
        </w:rPr>
        <w:br/>
        <w:t>• Acquired skills in cloud computing, full-stack development, and Azure cloud services.</w:t>
      </w:r>
      <w:r w:rsidRPr="00AA4A1C">
        <w:rPr>
          <w:rFonts w:ascii="Segoe UI" w:hAnsi="Segoe UI" w:cs="Segoe UI"/>
          <w:sz w:val="20"/>
          <w:szCs w:val="20"/>
        </w:rPr>
        <w:br/>
        <w:t>• Collaborated with industry professionals to enhance knowledge and practical experience in software development.</w:t>
      </w:r>
    </w:p>
    <w:p w14:paraId="547B1C0D" w14:textId="77777777" w:rsidR="00BF5F1A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Programming using C#, developing client applications with .NET MAUI, and cloud development using Azure.</w:t>
      </w:r>
    </w:p>
    <w:p w14:paraId="53697DC8" w14:textId="77777777" w:rsidR="00BF5F1A" w:rsidRPr="00AA4A1C" w:rsidRDefault="00BF5F1A" w:rsidP="002C523A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8BF9C30" w14:textId="3A3CBA04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415D8366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1FA8D2CB" w:rsidR="00FC708C" w:rsidRPr="00AA4A1C" w:rsidRDefault="00265F6D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Responsible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for medical readiness, training, and operational support for 150-200 personnel. </w:t>
      </w:r>
      <w:r w:rsidR="00EF2C5C">
        <w:rPr>
          <w:rFonts w:ascii="Segoe UI" w:hAnsi="Segoe UI" w:cs="Segoe UI"/>
          <w:i/>
          <w:iCs/>
          <w:sz w:val="20"/>
          <w:szCs w:val="20"/>
        </w:rPr>
        <w:t>Executed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high-level medical planning and casualty evacuation, exceeding expectations in a role typically held by more senior personnel.</w:t>
      </w:r>
    </w:p>
    <w:p w14:paraId="73FE3271" w14:textId="77777777" w:rsidR="00C963A4" w:rsidRPr="00AA4A1C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40E74FE8" w14:textId="119ADE72" w:rsidR="00BF6E3F" w:rsidRDefault="00BF6E3F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lastRenderedPageBreak/>
        <w:t>•</w:t>
      </w:r>
      <w:r>
        <w:rPr>
          <w:rFonts w:ascii="Segoe UI" w:hAnsi="Segoe UI" w:cs="Segoe UI"/>
          <w:sz w:val="20"/>
          <w:szCs w:val="20"/>
        </w:rPr>
        <w:t xml:space="preserve"> Led a medical team of 6-7 personnel while overseeing medical readiness and care coordination for 150-200 personnel</w:t>
      </w:r>
    </w:p>
    <w:p w14:paraId="6FC877B3" w14:textId="5C04D835" w:rsidR="00436DA3" w:rsidRPr="00AA4A1C" w:rsidRDefault="009C74C8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Orchestrated medical support for three long-range missions involving 40 personnel, implementing a robust Medical Evacuation Plan that reduced response times and ensured seamless emergency care.</w:t>
      </w:r>
    </w:p>
    <w:p w14:paraId="6DC410C4" w14:textId="28951959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BC6C4F" w:rsidRPr="00AA4A1C">
        <w:rPr>
          <w:rFonts w:ascii="Segoe UI" w:hAnsi="Segoe UI" w:cs="Segoe UI"/>
          <w:sz w:val="20"/>
          <w:szCs w:val="20"/>
        </w:rPr>
        <w:t>Led medical planning for 12 Special Forces Operational Detachments-Golf (SFOD-G), optimizing resource allocation and ensuring 100% availability of critical medical supplies across all deployments.</w:t>
      </w:r>
    </w:p>
    <w:p w14:paraId="4F169EFF" w14:textId="006A71B8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Implemented a streamlined certification tracking system, increasing compliance from 60% to 8</w:t>
      </w:r>
      <w:r w:rsidR="001C1B1A" w:rsidRPr="00AA4A1C">
        <w:rPr>
          <w:rFonts w:ascii="Segoe UI" w:hAnsi="Segoe UI" w:cs="Segoe UI"/>
          <w:sz w:val="20"/>
          <w:szCs w:val="20"/>
        </w:rPr>
        <w:t>0</w:t>
      </w:r>
      <w:r w:rsidR="006F047E" w:rsidRPr="00AA4A1C">
        <w:rPr>
          <w:rFonts w:ascii="Segoe UI" w:hAnsi="Segoe UI" w:cs="Segoe UI"/>
          <w:sz w:val="20"/>
          <w:szCs w:val="20"/>
        </w:rPr>
        <w:t>% for 22 Special Operations Forces Austere Medical Technicians and 6 Special Forces Medics.</w:t>
      </w:r>
    </w:p>
    <w:p w14:paraId="15DC590E" w14:textId="34EF16D2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Developed and led a Tactical Combat Casualty Care (TCCC) curriculum, training over 40 Special Forces operators and support staff, enhancing medical readiness and life-saving response capabilities across the unit.</w:t>
      </w:r>
    </w:p>
    <w:p w14:paraId="0A4A67D7" w14:textId="5594D2D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Directed overseas deployment planning, enhancing interoperability with four international allies and improving joint medical capabilities.</w:t>
      </w:r>
    </w:p>
    <w:p w14:paraId="28A0F83D" w14:textId="3B93796A" w:rsidR="002E1234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3D2D99" w:rsidRPr="00AA4A1C">
        <w:rPr>
          <w:rFonts w:ascii="Segoe UI" w:hAnsi="Segoe UI" w:cs="Segoe UI"/>
          <w:sz w:val="20"/>
          <w:szCs w:val="20"/>
        </w:rPr>
        <w:t>Advised and assisted a foreign partner force in developing a comprehensive Casualty Evacuation Plan, leveraging their existing infrastructure and resources to streamline evacuation procedures, enhance coordination, and improve overall response efficiency.</w:t>
      </w:r>
    </w:p>
    <w:p w14:paraId="4940523F" w14:textId="5A08A6A6" w:rsidR="002E1234" w:rsidRPr="00AA4A1C" w:rsidRDefault="002E1234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Oversaw medical readiness for 200+ personnel, ensuring over </w:t>
      </w:r>
      <w:r w:rsidR="001C1B1A" w:rsidRPr="00AA4A1C">
        <w:rPr>
          <w:rFonts w:ascii="Segoe UI" w:hAnsi="Segoe UI" w:cs="Segoe UI"/>
          <w:sz w:val="20"/>
          <w:szCs w:val="20"/>
        </w:rPr>
        <w:t>8</w:t>
      </w:r>
      <w:r w:rsidRPr="00AA4A1C">
        <w:rPr>
          <w:rFonts w:ascii="Segoe UI" w:hAnsi="Segoe UI" w:cs="Segoe UI"/>
          <w:sz w:val="20"/>
          <w:szCs w:val="20"/>
        </w:rPr>
        <w:t>5% compliance in pre-deployment medical screenings and readiness assessments.</w:t>
      </w:r>
    </w:p>
    <w:p w14:paraId="230EFB72" w14:textId="77777777" w:rsidR="00EC02BA" w:rsidRPr="00AA4A1C" w:rsidRDefault="00EC02BA" w:rsidP="009C74C8">
      <w:pPr>
        <w:spacing w:after="0"/>
        <w:rPr>
          <w:rFonts w:ascii="Segoe UI" w:hAnsi="Segoe UI" w:cs="Segoe UI"/>
          <w:sz w:val="20"/>
          <w:szCs w:val="20"/>
        </w:rPr>
      </w:pPr>
    </w:p>
    <w:p w14:paraId="74909B42" w14:textId="3B0FC7E5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2382301D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 xml:space="preserve">Oversaw medical readiness, cross-training, casualty care, and allied force interoperability. Led planning, instruction, </w:t>
      </w:r>
      <w:r>
        <w:rPr>
          <w:rFonts w:ascii="Segoe UI" w:hAnsi="Segoe UI" w:cs="Segoe UI"/>
          <w:i/>
          <w:iCs/>
          <w:sz w:val="20"/>
          <w:szCs w:val="20"/>
        </w:rPr>
        <w:t>and evacuation protocol development, enhancing readiness and trauma response across U.S. and partner nation forces</w:t>
      </w:r>
      <w:r>
        <w:rPr>
          <w:rFonts w:ascii="Segoe UI" w:hAnsi="Segoe UI" w:cs="Segoe UI"/>
          <w:i/>
          <w:iCs/>
          <w:sz w:val="20"/>
          <w:szCs w:val="20"/>
        </w:rPr>
        <w:t>. Stepped into a senior role post-certification, excelling beyond experience expectations.</w:t>
      </w:r>
    </w:p>
    <w:p w14:paraId="416F68E9" w14:textId="77777777" w:rsidR="00EC02BA" w:rsidRPr="00AA4A1C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6A189699" w14:textId="127F7FA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FA2A40" w:rsidRPr="00AA4A1C">
        <w:rPr>
          <w:rFonts w:ascii="Segoe UI" w:hAnsi="Segoe UI" w:cs="Segoe UI"/>
          <w:sz w:val="20"/>
          <w:szCs w:val="20"/>
        </w:rPr>
        <w:t xml:space="preserve"> </w:t>
      </w:r>
      <w:r w:rsidR="00874FB8" w:rsidRPr="00AA4A1C">
        <w:rPr>
          <w:rFonts w:ascii="Segoe UI" w:hAnsi="Segoe UI" w:cs="Segoe UI"/>
          <w:sz w:val="20"/>
          <w:szCs w:val="20"/>
        </w:rPr>
        <w:t>Pioneered a new protocol for utilizing non-standard aviation assets, creating a new platform for air medical evacuation in overseas operations</w:t>
      </w:r>
      <w:r w:rsidRPr="00AA4A1C">
        <w:rPr>
          <w:rFonts w:ascii="Segoe UI" w:hAnsi="Segoe UI" w:cs="Segoe UI"/>
          <w:sz w:val="20"/>
          <w:szCs w:val="20"/>
        </w:rPr>
        <w:t>.</w:t>
      </w:r>
    </w:p>
    <w:p w14:paraId="4C565142" w14:textId="6059A7E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>Facilitated a 40-hour joint combat medicine exchange with Japanese Special Operations Forces, enhancing bilateral trauma response capabilities and strengthening allied readiness.</w:t>
      </w:r>
    </w:p>
    <w:p w14:paraId="26783D7A" w14:textId="5211CC40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>Developed and conducted a 20-hour advanced medical training for over 80 Special Forces Operators, resulting in six operational teams being validated on their medical practices.</w:t>
      </w:r>
    </w:p>
    <w:p w14:paraId="0B3676C0" w14:textId="0ACD8DC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8644C1" w:rsidRPr="00AA4A1C">
        <w:rPr>
          <w:rFonts w:ascii="Segoe UI" w:hAnsi="Segoe UI" w:cs="Segoe UI"/>
          <w:sz w:val="20"/>
          <w:szCs w:val="20"/>
        </w:rPr>
        <w:t xml:space="preserve">Led a 30-hour TCCC course for 30 Philippine Maritime Police Officers, </w:t>
      </w:r>
      <w:r w:rsidR="00894664">
        <w:rPr>
          <w:rFonts w:ascii="Segoe UI" w:hAnsi="Segoe UI" w:cs="Segoe UI"/>
          <w:sz w:val="20"/>
          <w:szCs w:val="20"/>
        </w:rPr>
        <w:t>reducing</w:t>
      </w:r>
      <w:r w:rsidR="008644C1" w:rsidRPr="00AA4A1C">
        <w:rPr>
          <w:rFonts w:ascii="Segoe UI" w:hAnsi="Segoe UI" w:cs="Segoe UI"/>
          <w:sz w:val="20"/>
          <w:szCs w:val="20"/>
        </w:rPr>
        <w:t xml:space="preserve"> emergency response </w:t>
      </w:r>
      <w:r w:rsidR="00894664">
        <w:rPr>
          <w:rFonts w:ascii="Segoe UI" w:hAnsi="Segoe UI" w:cs="Segoe UI"/>
          <w:sz w:val="20"/>
          <w:szCs w:val="20"/>
        </w:rPr>
        <w:t xml:space="preserve">times from 2 hours to 45 minutes in </w:t>
      </w:r>
      <w:r w:rsidR="008644C1" w:rsidRPr="00AA4A1C">
        <w:rPr>
          <w:rFonts w:ascii="Segoe UI" w:hAnsi="Segoe UI" w:cs="Segoe UI"/>
          <w:sz w:val="20"/>
          <w:szCs w:val="20"/>
        </w:rPr>
        <w:t>tactical simulations.</w:t>
      </w:r>
    </w:p>
    <w:p w14:paraId="43765C52" w14:textId="18D39966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1C3E77" w:rsidRPr="00AA4A1C">
        <w:rPr>
          <w:rFonts w:ascii="Segoe UI" w:hAnsi="Segoe UI" w:cs="Segoe UI"/>
          <w:sz w:val="20"/>
          <w:szCs w:val="20"/>
        </w:rPr>
        <w:t xml:space="preserve">Led TCCC instruction for 120+ US and allied SOF personnel, increasing </w:t>
      </w:r>
      <w:r w:rsidR="00AC3273">
        <w:rPr>
          <w:rFonts w:ascii="Segoe UI" w:hAnsi="Segoe UI" w:cs="Segoe UI"/>
          <w:sz w:val="20"/>
          <w:szCs w:val="20"/>
        </w:rPr>
        <w:t>emergency</w:t>
      </w:r>
      <w:r w:rsidR="001C3E77" w:rsidRPr="00AA4A1C">
        <w:rPr>
          <w:rFonts w:ascii="Segoe UI" w:hAnsi="Segoe UI" w:cs="Segoe UI"/>
          <w:sz w:val="20"/>
          <w:szCs w:val="20"/>
        </w:rPr>
        <w:t xml:space="preserve"> medical proficiency scores by </w:t>
      </w:r>
      <w:r w:rsidR="00AD21C2">
        <w:rPr>
          <w:rFonts w:ascii="Segoe UI" w:hAnsi="Segoe UI" w:cs="Segoe UI"/>
          <w:sz w:val="20"/>
          <w:szCs w:val="20"/>
        </w:rPr>
        <w:t>50</w:t>
      </w:r>
      <w:r w:rsidR="001C3E77" w:rsidRPr="00AA4A1C">
        <w:rPr>
          <w:rFonts w:ascii="Segoe UI" w:hAnsi="Segoe UI" w:cs="Segoe UI"/>
          <w:sz w:val="20"/>
          <w:szCs w:val="20"/>
        </w:rPr>
        <w:t>% based on pre- and post-training evaluations.</w:t>
      </w:r>
    </w:p>
    <w:p w14:paraId="38341333" w14:textId="30CCE0F6" w:rsidR="001131D1" w:rsidRPr="00AA4A1C" w:rsidRDefault="001131D1" w:rsidP="00F02E98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Led medical training for a bilateral </w:t>
      </w:r>
      <w:r w:rsidR="002D1320">
        <w:rPr>
          <w:rFonts w:ascii="Segoe UI" w:hAnsi="Segoe UI" w:cs="Segoe UI"/>
          <w:sz w:val="20"/>
          <w:szCs w:val="20"/>
        </w:rPr>
        <w:t>training</w:t>
      </w:r>
      <w:r>
        <w:rPr>
          <w:rFonts w:ascii="Segoe UI" w:hAnsi="Segoe UI" w:cs="Segoe UI"/>
          <w:sz w:val="20"/>
          <w:szCs w:val="20"/>
        </w:rPr>
        <w:t xml:space="preserve"> exercise, enhancing interoperability between two allied forces by integrating response protocols</w:t>
      </w:r>
    </w:p>
    <w:p w14:paraId="6E0A3C47" w14:textId="77777777" w:rsidR="00436DA3" w:rsidRPr="00AA4A1C" w:rsidRDefault="00436DA3" w:rsidP="002E40A0">
      <w:pPr>
        <w:spacing w:after="0"/>
        <w:rPr>
          <w:rFonts w:ascii="Segoe UI" w:hAnsi="Segoe UI" w:cs="Segoe UI"/>
          <w:sz w:val="20"/>
          <w:szCs w:val="20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5EE5AB8A" w:rsidR="001E4F78" w:rsidRPr="00AA4A1C" w:rsidRDefault="001E4F78" w:rsidP="001E4F7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University of Cincinnati, Cincinnati, OH</w:t>
      </w:r>
      <w:r w:rsidR="00095199" w:rsidRPr="00AA4A1C">
        <w:rPr>
          <w:rFonts w:ascii="Segoe UI" w:hAnsi="Segoe UI" w:cs="Segoe UI"/>
          <w:sz w:val="20"/>
          <w:szCs w:val="20"/>
        </w:rPr>
        <w:t xml:space="preserve"> </w:t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  <w:t xml:space="preserve">    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AA4A1C" w:rsidRDefault="00C65C33" w:rsidP="00C65C33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2B527D69" w14:textId="0D3B5305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lastRenderedPageBreak/>
        <w:t>Projects</w:t>
      </w:r>
    </w:p>
    <w:p w14:paraId="16A1F09A" w14:textId="4277CE8D" w:rsidR="00C65C33" w:rsidRPr="00AA4A1C" w:rsidRDefault="005C5E12" w:rsidP="00C65C33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</w:p>
    <w:p w14:paraId="79477A48" w14:textId="71C031FF" w:rsidR="0007293F" w:rsidRPr="00AA4A1C" w:rsidRDefault="0007293F" w:rsidP="00AF3197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5C5E12" w:rsidRPr="00AA4A1C">
        <w:rPr>
          <w:rFonts w:ascii="Segoe UI" w:hAnsi="Segoe UI" w:cs="Segoe UI"/>
          <w:sz w:val="20"/>
          <w:szCs w:val="20"/>
        </w:rPr>
        <w:t>Utilizing Visual Studio and Winforms, created a calculator to perform basic math operations.</w:t>
      </w:r>
    </w:p>
    <w:p w14:paraId="57804134" w14:textId="77777777" w:rsidR="005C5E12" w:rsidRPr="00AA4A1C" w:rsidRDefault="005C5E12" w:rsidP="005C5E12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Project Title</w:t>
      </w:r>
    </w:p>
    <w:p w14:paraId="6E525941" w14:textId="77777777" w:rsidR="005C5E12" w:rsidRPr="00AA4A1C" w:rsidRDefault="005C5E12" w:rsidP="005C5E12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project, what you did/built/etc…</w:t>
      </w:r>
    </w:p>
    <w:p w14:paraId="6393773E" w14:textId="77777777" w:rsidR="00C65C33" w:rsidRPr="00AA4A1C" w:rsidRDefault="00C65C33" w:rsidP="00C65C33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17ED8854" w:rsidR="007800C5" w:rsidRPr="00AA4A1C" w:rsidRDefault="007800C5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</w:p>
    <w:p w14:paraId="3B237A6B" w14:textId="4A786367" w:rsidR="00FD4E82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Certification collaborated between Microsoft and freeCodeCamp, learned the basics of C# programming over 35 hours of training.</w:t>
      </w:r>
    </w:p>
    <w:p w14:paraId="6C6827FF" w14:textId="47CF8C7D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0E4215">
        <w:rPr>
          <w:rFonts w:ascii="Segoe UI" w:hAnsi="Segoe UI" w:cs="Segoe UI"/>
          <w:b/>
          <w:bCs/>
          <w:sz w:val="20"/>
          <w:szCs w:val="20"/>
        </w:rPr>
        <w:t>—Azure Fundamentals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te</w:t>
      </w:r>
      <w:r w:rsidRPr="00AA4A1C">
        <w:rPr>
          <w:rFonts w:ascii="Segoe UI" w:hAnsi="Segoe UI" w:cs="Segoe UI"/>
          <w:b/>
          <w:bCs/>
          <w:sz w:val="20"/>
          <w:szCs w:val="20"/>
        </w:rPr>
        <w:t>st date: May 2025)</w:t>
      </w:r>
    </w:p>
    <w:p w14:paraId="72D35FE3" w14:textId="090625DC" w:rsidR="007800C5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7523" w:rsidRPr="00AA4A1C">
        <w:rPr>
          <w:rFonts w:ascii="Segoe UI" w:hAnsi="Segoe UI" w:cs="Segoe UI"/>
          <w:sz w:val="20"/>
          <w:szCs w:val="20"/>
        </w:rPr>
        <w:t>Describe what you learned</w:t>
      </w:r>
    </w:p>
    <w:p w14:paraId="24575677" w14:textId="5C80D573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—Azure Developer Associate </w:t>
      </w:r>
      <w:r w:rsidRPr="00AA4A1C">
        <w:rPr>
          <w:rFonts w:ascii="Segoe UI" w:hAnsi="Segoe UI" w:cs="Segoe UI"/>
          <w:b/>
          <w:bCs/>
          <w:sz w:val="20"/>
          <w:szCs w:val="20"/>
        </w:rPr>
        <w:t>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</w:t>
      </w:r>
      <w:r w:rsidRPr="00AA4A1C">
        <w:rPr>
          <w:rFonts w:ascii="Segoe UI" w:hAnsi="Segoe UI" w:cs="Segoe UI"/>
          <w:b/>
          <w:bCs/>
          <w:sz w:val="20"/>
          <w:szCs w:val="20"/>
        </w:rPr>
        <w:t>est date: May 2025)</w:t>
      </w:r>
    </w:p>
    <w:p w14:paraId="459CD385" w14:textId="635DA609" w:rsidR="006E019D" w:rsidRPr="00AA4A1C" w:rsidRDefault="006E019D" w:rsidP="006E019D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3DB2">
        <w:rPr>
          <w:rFonts w:ascii="Segoe UI" w:hAnsi="Segoe UI" w:cs="Segoe UI"/>
          <w:sz w:val="20"/>
          <w:szCs w:val="20"/>
        </w:rPr>
        <w:t xml:space="preserve">Focused on Azure Functions, APIs, </w:t>
      </w:r>
      <w:r w:rsidR="00781F09">
        <w:rPr>
          <w:rFonts w:ascii="Segoe UI" w:hAnsi="Segoe UI" w:cs="Segoe UI"/>
          <w:sz w:val="20"/>
          <w:szCs w:val="20"/>
        </w:rPr>
        <w:t>microservices, and deployment pipelines (CI/CD).</w:t>
      </w:r>
      <w:r w:rsidR="00733DB2">
        <w:rPr>
          <w:rFonts w:ascii="Segoe UI" w:hAnsi="Segoe UI" w:cs="Segoe UI"/>
          <w:sz w:val="20"/>
          <w:szCs w:val="20"/>
        </w:rPr>
        <w:t xml:space="preserve"> </w:t>
      </w:r>
    </w:p>
    <w:p w14:paraId="2C6B6950" w14:textId="77777777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Certification</w:t>
      </w:r>
    </w:p>
    <w:p w14:paraId="4D4561EF" w14:textId="73458DA3" w:rsidR="008A5146" w:rsidRPr="00BF7118" w:rsidRDefault="006E019D" w:rsidP="00BF7118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what you learned</w:t>
      </w:r>
    </w:p>
    <w:sectPr w:rsidR="008A5146" w:rsidRPr="00B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7293F"/>
    <w:rsid w:val="000816EE"/>
    <w:rsid w:val="00095199"/>
    <w:rsid w:val="000A0139"/>
    <w:rsid w:val="000B1607"/>
    <w:rsid w:val="000E4215"/>
    <w:rsid w:val="000E6823"/>
    <w:rsid w:val="001131D1"/>
    <w:rsid w:val="00116E2D"/>
    <w:rsid w:val="001353FF"/>
    <w:rsid w:val="001672A4"/>
    <w:rsid w:val="001A11EA"/>
    <w:rsid w:val="001C1B1A"/>
    <w:rsid w:val="001C3E77"/>
    <w:rsid w:val="001E4F78"/>
    <w:rsid w:val="002577CF"/>
    <w:rsid w:val="00265F6D"/>
    <w:rsid w:val="002A0A02"/>
    <w:rsid w:val="002C523A"/>
    <w:rsid w:val="002C568B"/>
    <w:rsid w:val="002D1320"/>
    <w:rsid w:val="002D31EB"/>
    <w:rsid w:val="002E1234"/>
    <w:rsid w:val="002E40A0"/>
    <w:rsid w:val="003B53D6"/>
    <w:rsid w:val="003B5AC8"/>
    <w:rsid w:val="003B67F2"/>
    <w:rsid w:val="003D2D99"/>
    <w:rsid w:val="003E3765"/>
    <w:rsid w:val="00436DA3"/>
    <w:rsid w:val="004941D9"/>
    <w:rsid w:val="004B01D9"/>
    <w:rsid w:val="004F0F25"/>
    <w:rsid w:val="005A155D"/>
    <w:rsid w:val="005A36E8"/>
    <w:rsid w:val="005C2D41"/>
    <w:rsid w:val="005C5E12"/>
    <w:rsid w:val="005F1693"/>
    <w:rsid w:val="00604724"/>
    <w:rsid w:val="00611F00"/>
    <w:rsid w:val="00613F5D"/>
    <w:rsid w:val="00640848"/>
    <w:rsid w:val="006714E3"/>
    <w:rsid w:val="006B62B7"/>
    <w:rsid w:val="006E019D"/>
    <w:rsid w:val="006F047E"/>
    <w:rsid w:val="00733DB2"/>
    <w:rsid w:val="00737523"/>
    <w:rsid w:val="007800C5"/>
    <w:rsid w:val="00781F09"/>
    <w:rsid w:val="007B3BED"/>
    <w:rsid w:val="00806B50"/>
    <w:rsid w:val="00821940"/>
    <w:rsid w:val="008257E9"/>
    <w:rsid w:val="00831BB1"/>
    <w:rsid w:val="00853E84"/>
    <w:rsid w:val="00856B3E"/>
    <w:rsid w:val="008572D5"/>
    <w:rsid w:val="0086322F"/>
    <w:rsid w:val="008644C1"/>
    <w:rsid w:val="00874FB8"/>
    <w:rsid w:val="00894664"/>
    <w:rsid w:val="008A5146"/>
    <w:rsid w:val="008B4E05"/>
    <w:rsid w:val="008D7A98"/>
    <w:rsid w:val="00901F3E"/>
    <w:rsid w:val="00935737"/>
    <w:rsid w:val="009A3820"/>
    <w:rsid w:val="009C74C8"/>
    <w:rsid w:val="00A14D21"/>
    <w:rsid w:val="00A172A6"/>
    <w:rsid w:val="00A3587D"/>
    <w:rsid w:val="00AA4A1C"/>
    <w:rsid w:val="00AB53CF"/>
    <w:rsid w:val="00AC3273"/>
    <w:rsid w:val="00AD21C2"/>
    <w:rsid w:val="00AF3197"/>
    <w:rsid w:val="00B23E6D"/>
    <w:rsid w:val="00B40F1C"/>
    <w:rsid w:val="00B44565"/>
    <w:rsid w:val="00B61BD1"/>
    <w:rsid w:val="00B835BA"/>
    <w:rsid w:val="00BC6C4F"/>
    <w:rsid w:val="00BD627F"/>
    <w:rsid w:val="00BE328D"/>
    <w:rsid w:val="00BF5F1A"/>
    <w:rsid w:val="00BF6E3F"/>
    <w:rsid w:val="00BF7118"/>
    <w:rsid w:val="00C26CB5"/>
    <w:rsid w:val="00C65C33"/>
    <w:rsid w:val="00C7401B"/>
    <w:rsid w:val="00C963A4"/>
    <w:rsid w:val="00CF134E"/>
    <w:rsid w:val="00DA053A"/>
    <w:rsid w:val="00DD59AF"/>
    <w:rsid w:val="00DD7412"/>
    <w:rsid w:val="00E755FA"/>
    <w:rsid w:val="00EB3582"/>
    <w:rsid w:val="00EC02BA"/>
    <w:rsid w:val="00EF2C5C"/>
    <w:rsid w:val="00F02E98"/>
    <w:rsid w:val="00F12C2D"/>
    <w:rsid w:val="00F1506D"/>
    <w:rsid w:val="00FA2A40"/>
    <w:rsid w:val="00FC708C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t-hancock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105</cp:revision>
  <dcterms:created xsi:type="dcterms:W3CDTF">2025-02-21T22:55:00Z</dcterms:created>
  <dcterms:modified xsi:type="dcterms:W3CDTF">2025-02-28T21:52:00Z</dcterms:modified>
</cp:coreProperties>
</file>