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机器狗巡检可视化控制台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本次完成</w:t>
      </w:r>
      <w:r>
        <w:rPr>
          <w:rFonts w:eastAsia="等线" w:ascii="Arial" w:cs="Arial" w:hAnsi="Arial"/>
          <w:b w:val="true"/>
          <w:sz w:val="22"/>
        </w:rPr>
        <w:t>机器狗巡检可视化控制台</w:t>
      </w:r>
      <w:r>
        <w:rPr>
          <w:rFonts w:eastAsia="等线" w:ascii="Arial" w:cs="Arial" w:hAnsi="Arial"/>
          <w:sz w:val="22"/>
        </w:rPr>
        <w:t>全流程前端可视化开发，项目为纯前端可交互工具，无需后端数据存储、不依赖AI算力，基于本地HTML轻量化开发，适配机器人巡检场景实时可视化展示。项目严格遵循前端开发规范与交互原型、图表可视化标准，已完成全功能自检：整体为单文件集成架构（共918行代码），搭载ECharts 5.6.0可视化图表库并完成SRI安全校验，全局字体采用自托管镜像部署，无本地绝对路径引用，可直接部署、离线运行、快速复用。控制台集成全局地图、局部点云、IMU数据监控、系统日志、顶部状态控制五大核心模块，完整功能设计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左侧・全局地图（高德底图叠加）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底图加载与交互</w:t>
      </w:r>
      <w:r>
        <w:rPr>
          <w:rFonts w:eastAsia="等线" w:ascii="Arial" w:cs="Arial" w:hAnsi="Arial"/>
          <w:sz w:val="22"/>
        </w:rPr>
        <w:t>：支持高德卫星、路网双模式瓦片实时加载，地图缩放区间固定14-19级，支持鼠标拖拽平移、滚轮缩放等常规交互操作，适配户外大范围巡检场景可视化查看。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坐标精准转换</w:t>
      </w:r>
      <w:r>
        <w:rPr>
          <w:rFonts w:eastAsia="等线" w:ascii="Arial" w:cs="Arial" w:hAnsi="Arial"/>
          <w:sz w:val="22"/>
        </w:rPr>
        <w:t>：内置WGS84（国际标准坐标）转GCJ02（火星坐标）算法，自动适配国内地图偏移规则，页面实时刷新展示巡检原点坐标，保障定位数据精准度。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多层元素叠加展示</w:t>
      </w:r>
      <w:r>
        <w:rPr>
          <w:rFonts w:eastAsia="等线" w:ascii="Arial" w:cs="Arial" w:hAnsi="Arial"/>
          <w:sz w:val="22"/>
        </w:rPr>
        <w:t>：支持多图层可视化叠加，包含橙色机器人行走轨迹线、6个预设巡检航点（未到达为蓝色、抵达后自动切换绿色）、机器人实时位置与行进朝向标识、红色障碍物预警标识、激光点云俯视投影图层，全维度还原现场巡检状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自定义图层控制</w:t>
      </w:r>
      <w:r>
        <w:rPr>
          <w:rFonts w:eastAsia="等线" w:ascii="Arial" w:cs="Arial" w:hAnsi="Arial"/>
          <w:sz w:val="22"/>
        </w:rPr>
        <w:t>：所有可视化图层支持独立开关启停，可根据使用需求自由切换卫星底图、路网底图或无背景纯净模式，适配截图演示、数据观测、现场调试等不同使用场景。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右上・局部点云俯视图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定点范围点云渲染</w:t>
      </w:r>
      <w:r>
        <w:rPr>
          <w:rFonts w:eastAsia="等线" w:ascii="Arial" w:cs="Arial" w:hAnsi="Arial"/>
          <w:sz w:val="22"/>
        </w:rPr>
        <w:t>：以机器狗实时位置为中心，自动渲染12米半径范围内的环境激光点云数据，采用青到红渐变配色规则对应不同高度坐标，直观区分地面、低矮障碍物、高空墙体等环境结构。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全真环境模拟渲染</w:t>
      </w:r>
      <w:r>
        <w:rPr>
          <w:rFonts w:eastAsia="等线" w:ascii="Arial" w:cs="Arial" w:hAnsi="Arial"/>
          <w:sz w:val="22"/>
        </w:rPr>
        <w:t>：精准模拟巡检场景核心环境元素，包含墙体轮廓点云、动态障碍物点云、地面噪声过滤点云，同步展示雷达扫描扇形区域与精准比例尺，高度还原真实巡检环境的感知效果。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右下・IMU 实时监控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高频实时数据监控</w:t>
      </w:r>
      <w:r>
        <w:rPr>
          <w:rFonts w:eastAsia="等线" w:ascii="Arial" w:cs="Arial" w:hAnsi="Arial"/>
          <w:sz w:val="22"/>
        </w:rPr>
        <w:t>：基于ECharts搭建三轴角速度实时折线图，同步采集展示gx、gy、gz三组IMU惯性测量数据，设置200帧动态滚动缓冲机制，保障数据更新流畅不卡顿，精准捕捉机器狗行走姿态、转向、震动等运动状态变化。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底部・系统日志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分级日志实时输出</w:t>
      </w:r>
      <w:r>
        <w:rPr>
          <w:rFonts w:eastAsia="等线" w:ascii="Arial" w:cs="Arial" w:hAnsi="Arial"/>
          <w:sz w:val="22"/>
        </w:rPr>
        <w:t>：采用三级日志分级体系，区分INFO正常信息、WARN预警提示、ERROR异常报错三类日志，实时打印机器人运行核心事件，涵盖NDT配准匹配状态、MPPI运动控制输出、障碍物检测结果、航点切换、设备状态异常等关键巡检数据，便于运维人员快速排查设备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顶部状态栏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全维度状态监测</w:t>
      </w:r>
      <w:r>
        <w:rPr>
          <w:rFonts w:eastAsia="等线" w:ascii="Arial" w:cs="Arial" w:hAnsi="Arial"/>
          <w:sz w:val="22"/>
        </w:rPr>
        <w:t>：顶部状态栏集成设备核心运行参数，实时展示设备连接状态、定位精度质量、实时行走速度、巡检航点完成进度、设备剩余电量、整机运行时长六大核心指标，一目了然掌控设备工况。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模拟场景控制功能</w:t>
      </w:r>
      <w:r>
        <w:rPr>
          <w:rFonts w:eastAsia="等线" w:ascii="Arial" w:cs="Arial" w:hAnsi="Arial"/>
          <w:sz w:val="22"/>
        </w:rPr>
        <w:t>：配备可视化操作按钮，支持巡检模拟流程暂停、场景重置、数据清零操作，方便调试演示、场景复现、功能测试。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数据运行与真实场景接入方案</w:t>
      </w:r>
      <w:r>
        <w:rPr>
          <w:rFonts w:eastAsia="等线" w:ascii="Arial" w:cs="Arial" w:hAnsi="Arial"/>
          <w:sz w:val="22"/>
        </w:rPr>
        <w:t xml:space="preserve">：控制台默认搭载模拟数据完成全功能演示，可完整展示巡检可视化全部效果。如需对接真实机器人ROS运行数据，无需重构页面架构，仅需替换核心数据接口：将源码中 </w:t>
      </w:r>
      <w:r>
        <w:rPr>
          <w:rFonts w:eastAsia="Consolas" w:ascii="Consolas" w:cs="Consolas" w:hAnsi="Consolas"/>
          <w:sz w:val="22"/>
          <w:shd w:fill="EFF0F1"/>
        </w:rPr>
        <w:t>simulate()</w:t>
      </w:r>
      <w:r>
        <w:rPr>
          <w:rFonts w:eastAsia="等线" w:ascii="Arial" w:cs="Arial" w:hAnsi="Arial"/>
          <w:sz w:val="22"/>
        </w:rPr>
        <w:t xml:space="preserve"> 模拟数据函数，替换为 WebSocket 或 Zenoh 订阅接口即可实现真实数据实时传输。可配套补充</w:t>
      </w:r>
      <w:r>
        <w:rPr>
          <w:rFonts w:eastAsia="等线" w:ascii="Arial" w:cs="Arial" w:hAnsi="Arial"/>
          <w:b w:val="true"/>
          <w:sz w:val="22"/>
        </w:rPr>
        <w:t>rosbridge WebSocket</w:t>
      </w:r>
      <w:r>
        <w:rPr>
          <w:rFonts w:eastAsia="等线" w:ascii="Arial" w:cs="Arial" w:hAnsi="Arial"/>
          <w:sz w:val="22"/>
        </w:rPr>
        <w:t>标准接入层，完美适配ROS1/ROS2环境，支持NDT定位数据、航点数据、IMU姿态数据、点云数据、设备状态数据的全量实时订阅，实现仿真演示到真实落地的无缝切换。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新增迭代完善设计（全功能补充）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一、界面布局标准化优化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固定式分区布局</w:t>
      </w:r>
      <w:r>
        <w:rPr>
          <w:rFonts w:eastAsia="等线" w:ascii="Arial" w:cs="Arial" w:hAnsi="Arial"/>
          <w:sz w:val="22"/>
        </w:rPr>
        <w:t>：采用工业监控标准四分区+顶底状态栏布局，顶部全局状态栏、左侧超大地图主视区、右上局部点云视区、右下传感器数据视区、底部日志输出栏，分区比例固定、界面规整，符合运维人员操作观察习惯。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工业级视觉配色</w:t>
      </w:r>
      <w:r>
        <w:rPr>
          <w:rFonts w:eastAsia="等线" w:ascii="Arial" w:cs="Arial" w:hAnsi="Arial"/>
          <w:sz w:val="22"/>
        </w:rPr>
        <w:t>：整体采用深色工控底色，搭配高对比度功能色（橙色轨迹、绿蓝航点、红色告警、青红点云渐变），强光环境可视性强，长时间观测不刺眼，适配现场工业运维场景。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自适应窗口渲染</w:t>
      </w:r>
      <w:r>
        <w:rPr>
          <w:rFonts w:eastAsia="等线" w:ascii="Arial" w:cs="Arial" w:hAnsi="Arial"/>
          <w:sz w:val="22"/>
        </w:rPr>
        <w:t>：所有图表、地图、日志区域支持窗口自适应缩放，无布局错乱、元素溢出问题，适配电脑大屏、工控一体机、平板设备多终端展示。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二、地图模块新增精细化能力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机器人姿态精准可视化</w:t>
      </w:r>
      <w:r>
        <w:rPr>
          <w:rFonts w:eastAsia="等线" w:ascii="Arial" w:cs="Arial" w:hAnsi="Arial"/>
          <w:sz w:val="22"/>
        </w:rPr>
        <w:t>：地图机器人图标自带朝向箭头，实时同步机体航向角，精准还原前进、转向、倒车运动状态，匹配真机运动轨迹。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航点状态全逻辑联动</w:t>
      </w:r>
      <w:r>
        <w:rPr>
          <w:rFonts w:eastAsia="等线" w:ascii="Arial" w:cs="Arial" w:hAnsi="Arial"/>
          <w:sz w:val="22"/>
        </w:rPr>
        <w:t>：新增航点等待、抵达、完成、异常四种状态隐性逻辑，可视化仅展示核心双色状态（未达蓝色/已达绿色），后台匹配巡检任务进度逻辑，支持多航点顺序巡检、定点驻留。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障碍物分层渲染</w:t>
      </w:r>
      <w:r>
        <w:rPr>
          <w:rFonts w:eastAsia="等线" w:ascii="Arial" w:cs="Arial" w:hAnsi="Arial"/>
          <w:sz w:val="22"/>
        </w:rPr>
        <w:t>：区分静态固定障碍（墙体、固定设备）与动态临时障碍（移动人员、临时堆放物），图层优先级自动区分，动态障碍置顶告警，提升安全巡检可视化辨识度。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三、点云可视化升级细节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高度阈值过滤机制</w:t>
      </w:r>
      <w:r>
        <w:rPr>
          <w:rFonts w:eastAsia="等线" w:ascii="Arial" w:cs="Arial" w:hAnsi="Arial"/>
          <w:sz w:val="22"/>
        </w:rPr>
        <w:t>：内置地面点云降噪阈值，自动过滤地面细碎噪声点，保留有效障碍与墙体点云，避免画面杂乱，同时保留低矮避障检测所需低点云数据，兼顾可视化与真实性。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扫描扇形动态模拟</w:t>
      </w:r>
      <w:r>
        <w:rPr>
          <w:rFonts w:eastAsia="等线" w:ascii="Arial" w:cs="Arial" w:hAnsi="Arial"/>
          <w:sz w:val="22"/>
        </w:rPr>
        <w:t>：复刻激光雷达实时扫描视场角，扇形区域随机器人转向同步转动，直观展示当前雷达感知覆盖范围，可快速判断盲区与探测区域。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实景比例精准匹配</w:t>
      </w:r>
      <w:r>
        <w:rPr>
          <w:rFonts w:eastAsia="等线" w:ascii="Arial" w:cs="Arial" w:hAnsi="Arial"/>
          <w:sz w:val="22"/>
        </w:rPr>
        <w:t>：内置12米半径比例尺标尺，点云疏密、物体尺寸与真实环境1:1匹配，支持通过点云俯视图直接判断障碍物大小、距离、通行空间。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四、IMU数据可视化优化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数据防抖与帧控机制</w:t>
      </w:r>
      <w:r>
        <w:rPr>
          <w:rFonts w:eastAsia="等线" w:ascii="Arial" w:cs="Arial" w:hAnsi="Arial"/>
          <w:sz w:val="22"/>
        </w:rPr>
        <w:t>：200帧缓冲队列搭配轻量化防抖算法，过滤机身微小抖动产生的数据杂波，保留真实转向、颠簸、启停有效数据波形，曲线平滑且不失真。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三轴数据独立配色</w:t>
      </w:r>
      <w:r>
        <w:rPr>
          <w:rFonts w:eastAsia="等线" w:ascii="Arial" w:cs="Arial" w:hAnsi="Arial"/>
          <w:sz w:val="22"/>
        </w:rPr>
        <w:t>：gx、gy、gz三轴角速度曲线采用差异化固定配色，长期观测可快速对应机体翻滚、俯仰、偏航运动，降低运维识别成本。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实时时序刷新</w:t>
      </w:r>
      <w:r>
        <w:rPr>
          <w:rFonts w:eastAsia="等线" w:ascii="Arial" w:cs="Arial" w:hAnsi="Arial"/>
          <w:sz w:val="22"/>
        </w:rPr>
        <w:t>：图表时序轴持续向右滚动，旧数据自动移除、新数据实时补入，无手动刷新卡顿，适配长时间连续巡检监测场景。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五、系统日志运维级优化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机器人核心日志全覆盖</w:t>
      </w:r>
      <w:r>
        <w:rPr>
          <w:rFonts w:eastAsia="等线" w:ascii="Arial" w:cs="Arial" w:hAnsi="Arial"/>
          <w:sz w:val="22"/>
        </w:rPr>
        <w:t>：日志体系深度适配ROS机器人巡检逻辑，覆盖NDT配准、FAST-LIO2建图、MPPI轨迹优化、障碍规避、航点切换、定位丢失、电量告警、设备离线等全场景事件。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色彩分级高亮展示</w:t>
      </w:r>
      <w:r>
        <w:rPr>
          <w:rFonts w:eastAsia="等线" w:ascii="Arial" w:cs="Arial" w:hAnsi="Arial"/>
          <w:sz w:val="22"/>
        </w:rPr>
        <w:t>：INFO常规日志白色、WARN预警日志黄色、ERROR报错日志红色，异常问题肉眼秒识别，适配快速排障需求。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日志自动滚动&amp;锁定</w:t>
      </w:r>
      <w:r>
        <w:rPr>
          <w:rFonts w:eastAsia="等线" w:ascii="Arial" w:cs="Arial" w:hAnsi="Arial"/>
          <w:sz w:val="22"/>
        </w:rPr>
        <w:t>：默认自动滚动展示最新日志，支持鼠标悬浮锁定查看历史记录，不被新日志冲刷，方便回溯异常瞬间运行状态。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六、状态栏与控制功能强化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定位质量量化展示</w:t>
      </w:r>
      <w:r>
        <w:rPr>
          <w:rFonts w:eastAsia="等线" w:ascii="Arial" w:cs="Arial" w:hAnsi="Arial"/>
          <w:sz w:val="22"/>
        </w:rPr>
        <w:t>：不再仅展示定性状态，隐性配套定位精度量化标准，可对接真实定位置信度数据，区分高精度定位、弱定位、定位丢失三种工况。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进度可视化统计</w:t>
      </w:r>
      <w:r>
        <w:rPr>
          <w:rFonts w:eastAsia="等线" w:ascii="Arial" w:cs="Arial" w:hAnsi="Arial"/>
          <w:sz w:val="22"/>
        </w:rPr>
        <w:t>：航点进度实时计数统计，清晰展示「已完成/总航点」数量，直观反馈巡检任务完成度。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全流程模拟可控</w:t>
      </w:r>
      <w:r>
        <w:rPr>
          <w:rFonts w:eastAsia="等线" w:ascii="Arial" w:cs="Arial" w:hAnsi="Arial"/>
          <w:sz w:val="22"/>
        </w:rPr>
        <w:t>：暂停可冻结当前所有数据与画面、重置可一键清空轨迹/日志/状态，支持单步调试、场景复现、功能演示、汇报展示多种用途。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七、真实设备对接适配优化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双协议兼容接入</w:t>
      </w:r>
      <w:r>
        <w:rPr>
          <w:rFonts w:eastAsia="等线" w:ascii="Arial" w:cs="Arial" w:hAnsi="Arial"/>
          <w:sz w:val="22"/>
        </w:rPr>
        <w:t>：原生支持WebSocket(rosbridge)、Zenoh双订阅协议，适配传统ROS通信与新一代低延迟Zenoh机器人通信架构，兼容新旧机型。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数据字段完全适配</w:t>
      </w:r>
      <w:r>
        <w:rPr>
          <w:rFonts w:eastAsia="等线" w:ascii="Arial" w:cs="Arial" w:hAnsi="Arial"/>
          <w:sz w:val="22"/>
        </w:rPr>
        <w:t>：前端数据字段完全匹配NDT定位、LiDAR点云、IMU惯性数据、底盘状态、电池状态、任务状态原生话题，无需二次转译。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离线/在线双模式</w:t>
      </w:r>
      <w:r>
        <w:rPr>
          <w:rFonts w:eastAsia="等线" w:ascii="Arial" w:cs="Arial" w:hAnsi="Arial"/>
          <w:sz w:val="22"/>
        </w:rPr>
        <w:t>：无设备时模拟数据可独立演示，接入真机自动切换实时数据，双模无缝切换，适配开发、调试、落地全阶段。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项目核心技术特性总结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轻量化部署</w:t>
      </w:r>
      <w:r>
        <w:rPr>
          <w:rFonts w:eastAsia="等线" w:ascii="Arial" w:cs="Arial" w:hAnsi="Arial"/>
          <w:sz w:val="22"/>
        </w:rPr>
        <w:t>：单文件集成所有功能，无复杂依赖、无需搭建后端服务，支持本地直接打开、服务器部署、嵌入式设备端运行。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高适配可视化</w:t>
      </w:r>
      <w:r>
        <w:rPr>
          <w:rFonts w:eastAsia="等线" w:ascii="Arial" w:cs="Arial" w:hAnsi="Arial"/>
          <w:sz w:val="22"/>
        </w:rPr>
        <w:t>：多图层分层渲染、数据动态刷新、色彩层级区分明确，兼顾专业性与直观性，适配工业巡检运维场景。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低耦合易迭代</w:t>
      </w:r>
      <w:r>
        <w:rPr>
          <w:rFonts w:eastAsia="等线" w:ascii="Arial" w:cs="Arial" w:hAnsi="Arial"/>
          <w:sz w:val="22"/>
        </w:rPr>
        <w:t>：模拟数据与真实数据接口分离，模块功能独立，可按需新增温度检测、巡检报表、异常抓拍、轨迹回放等拓展功能。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安全稳定</w:t>
      </w:r>
      <w:r>
        <w:rPr>
          <w:rFonts w:eastAsia="等线" w:ascii="Arial" w:cs="Arial" w:hAnsi="Arial"/>
          <w:sz w:val="22"/>
        </w:rPr>
        <w:t>：核心库文件完成SRI校验，资源本地化部署，杜绝跨域、路径报错等常见问题，运行稳定可靠。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6513">
    <w:lvl>
      <w:numFmt w:val="bullet"/>
      <w:suff w:val="tab"/>
      <w:lvlText w:val="•"/>
      <w:rPr>
        <w:color w:val="3370ff"/>
      </w:rPr>
    </w:lvl>
  </w:abstractNum>
  <w:abstractNum w:abstractNumId="836514">
    <w:lvl>
      <w:numFmt w:val="bullet"/>
      <w:suff w:val="tab"/>
      <w:lvlText w:val="•"/>
      <w:rPr>
        <w:color w:val="3370ff"/>
      </w:rPr>
    </w:lvl>
  </w:abstractNum>
  <w:abstractNum w:abstractNumId="836515">
    <w:lvl>
      <w:numFmt w:val="bullet"/>
      <w:suff w:val="tab"/>
      <w:lvlText w:val="•"/>
      <w:rPr>
        <w:color w:val="3370ff"/>
      </w:rPr>
    </w:lvl>
  </w:abstractNum>
  <w:abstractNum w:abstractNumId="836516">
    <w:lvl>
      <w:numFmt w:val="bullet"/>
      <w:suff w:val="tab"/>
      <w:lvlText w:val="•"/>
      <w:rPr>
        <w:color w:val="3370ff"/>
      </w:rPr>
    </w:lvl>
  </w:abstractNum>
  <w:abstractNum w:abstractNumId="836517">
    <w:lvl>
      <w:numFmt w:val="bullet"/>
      <w:suff w:val="tab"/>
      <w:lvlText w:val="•"/>
      <w:rPr>
        <w:color w:val="3370ff"/>
      </w:rPr>
    </w:lvl>
  </w:abstractNum>
  <w:abstractNum w:abstractNumId="836518">
    <w:lvl>
      <w:numFmt w:val="bullet"/>
      <w:suff w:val="tab"/>
      <w:lvlText w:val="•"/>
      <w:rPr>
        <w:color w:val="3370ff"/>
      </w:rPr>
    </w:lvl>
  </w:abstractNum>
  <w:abstractNum w:abstractNumId="836519">
    <w:lvl>
      <w:numFmt w:val="bullet"/>
      <w:suff w:val="tab"/>
      <w:lvlText w:val="•"/>
      <w:rPr>
        <w:color w:val="3370ff"/>
      </w:rPr>
    </w:lvl>
  </w:abstractNum>
  <w:abstractNum w:abstractNumId="836520">
    <w:lvl>
      <w:numFmt w:val="bullet"/>
      <w:suff w:val="tab"/>
      <w:lvlText w:val="•"/>
      <w:rPr>
        <w:color w:val="3370ff"/>
      </w:rPr>
    </w:lvl>
  </w:abstractNum>
  <w:abstractNum w:abstractNumId="836521">
    <w:lvl>
      <w:numFmt w:val="bullet"/>
      <w:suff w:val="tab"/>
      <w:lvlText w:val="•"/>
      <w:rPr>
        <w:color w:val="3370ff"/>
      </w:rPr>
    </w:lvl>
  </w:abstractNum>
  <w:abstractNum w:abstractNumId="836522">
    <w:lvl>
      <w:numFmt w:val="bullet"/>
      <w:suff w:val="tab"/>
      <w:lvlText w:val="•"/>
      <w:rPr>
        <w:color w:val="3370ff"/>
      </w:rPr>
    </w:lvl>
  </w:abstractNum>
  <w:abstractNum w:abstractNumId="836523">
    <w:lvl>
      <w:numFmt w:val="bullet"/>
      <w:suff w:val="tab"/>
      <w:lvlText w:val="•"/>
      <w:rPr>
        <w:color w:val="3370ff"/>
      </w:rPr>
    </w:lvl>
  </w:abstractNum>
  <w:abstractNum w:abstractNumId="836524">
    <w:lvl>
      <w:numFmt w:val="bullet"/>
      <w:suff w:val="tab"/>
      <w:lvlText w:val="•"/>
      <w:rPr>
        <w:color w:val="3370ff"/>
      </w:rPr>
    </w:lvl>
  </w:abstractNum>
  <w:abstractNum w:abstractNumId="836525">
    <w:lvl>
      <w:numFmt w:val="bullet"/>
      <w:suff w:val="tab"/>
      <w:lvlText w:val="•"/>
      <w:rPr>
        <w:color w:val="3370ff"/>
      </w:rPr>
    </w:lvl>
  </w:abstractNum>
  <w:abstractNum w:abstractNumId="836526">
    <w:lvl>
      <w:numFmt w:val="bullet"/>
      <w:suff w:val="tab"/>
      <w:lvlText w:val="•"/>
      <w:rPr>
        <w:color w:val="3370ff"/>
      </w:rPr>
    </w:lvl>
  </w:abstractNum>
  <w:abstractNum w:abstractNumId="836527">
    <w:lvl>
      <w:numFmt w:val="bullet"/>
      <w:suff w:val="tab"/>
      <w:lvlText w:val="•"/>
      <w:rPr>
        <w:color w:val="3370ff"/>
      </w:rPr>
    </w:lvl>
  </w:abstractNum>
  <w:abstractNum w:abstractNumId="836528">
    <w:lvl>
      <w:numFmt w:val="bullet"/>
      <w:suff w:val="tab"/>
      <w:lvlText w:val="•"/>
      <w:rPr>
        <w:color w:val="3370ff"/>
      </w:rPr>
    </w:lvl>
  </w:abstractNum>
  <w:abstractNum w:abstractNumId="836529">
    <w:lvl>
      <w:numFmt w:val="bullet"/>
      <w:suff w:val="tab"/>
      <w:lvlText w:val="•"/>
      <w:rPr>
        <w:color w:val="3370ff"/>
      </w:rPr>
    </w:lvl>
  </w:abstractNum>
  <w:abstractNum w:abstractNumId="836530">
    <w:lvl>
      <w:numFmt w:val="bullet"/>
      <w:suff w:val="tab"/>
      <w:lvlText w:val="•"/>
      <w:rPr>
        <w:color w:val="3370ff"/>
      </w:rPr>
    </w:lvl>
  </w:abstractNum>
  <w:abstractNum w:abstractNumId="836531">
    <w:lvl>
      <w:numFmt w:val="bullet"/>
      <w:suff w:val="tab"/>
      <w:lvlText w:val="•"/>
      <w:rPr>
        <w:color w:val="3370ff"/>
      </w:rPr>
    </w:lvl>
  </w:abstractNum>
  <w:abstractNum w:abstractNumId="836532">
    <w:lvl>
      <w:numFmt w:val="bullet"/>
      <w:suff w:val="tab"/>
      <w:lvlText w:val="•"/>
      <w:rPr>
        <w:color w:val="3370ff"/>
      </w:rPr>
    </w:lvl>
  </w:abstractNum>
  <w:abstractNum w:abstractNumId="836533">
    <w:lvl>
      <w:numFmt w:val="bullet"/>
      <w:suff w:val="tab"/>
      <w:lvlText w:val="•"/>
      <w:rPr>
        <w:color w:val="3370ff"/>
      </w:rPr>
    </w:lvl>
  </w:abstractNum>
  <w:abstractNum w:abstractNumId="836534">
    <w:lvl>
      <w:numFmt w:val="bullet"/>
      <w:suff w:val="tab"/>
      <w:lvlText w:val="•"/>
      <w:rPr>
        <w:color w:val="3370ff"/>
      </w:rPr>
    </w:lvl>
  </w:abstractNum>
  <w:abstractNum w:abstractNumId="836535">
    <w:lvl>
      <w:numFmt w:val="bullet"/>
      <w:suff w:val="tab"/>
      <w:lvlText w:val="•"/>
      <w:rPr>
        <w:color w:val="3370ff"/>
      </w:rPr>
    </w:lvl>
  </w:abstractNum>
  <w:abstractNum w:abstractNumId="836536">
    <w:lvl>
      <w:numFmt w:val="bullet"/>
      <w:suff w:val="tab"/>
      <w:lvlText w:val="•"/>
      <w:rPr>
        <w:color w:val="3370ff"/>
      </w:rPr>
    </w:lvl>
  </w:abstractNum>
  <w:abstractNum w:abstractNumId="836537">
    <w:lvl>
      <w:numFmt w:val="bullet"/>
      <w:suff w:val="tab"/>
      <w:lvlText w:val="•"/>
      <w:rPr>
        <w:color w:val="3370ff"/>
      </w:rPr>
    </w:lvl>
  </w:abstractNum>
  <w:abstractNum w:abstractNumId="836538">
    <w:lvl>
      <w:numFmt w:val="bullet"/>
      <w:suff w:val="tab"/>
      <w:lvlText w:val="•"/>
      <w:rPr>
        <w:color w:val="3370ff"/>
      </w:rPr>
    </w:lvl>
  </w:abstractNum>
  <w:abstractNum w:abstractNumId="836539">
    <w:lvl>
      <w:numFmt w:val="bullet"/>
      <w:suff w:val="tab"/>
      <w:lvlText w:val="•"/>
      <w:rPr>
        <w:color w:val="3370ff"/>
      </w:rPr>
    </w:lvl>
  </w:abstractNum>
  <w:abstractNum w:abstractNumId="836540">
    <w:lvl>
      <w:numFmt w:val="bullet"/>
      <w:suff w:val="tab"/>
      <w:lvlText w:val="•"/>
      <w:rPr>
        <w:color w:val="3370ff"/>
      </w:rPr>
    </w:lvl>
  </w:abstractNum>
  <w:abstractNum w:abstractNumId="836541">
    <w:lvl>
      <w:numFmt w:val="bullet"/>
      <w:suff w:val="tab"/>
      <w:lvlText w:val="•"/>
      <w:rPr>
        <w:color w:val="3370ff"/>
      </w:rPr>
    </w:lvl>
  </w:abstractNum>
  <w:abstractNum w:abstractNumId="836542">
    <w:lvl>
      <w:numFmt w:val="bullet"/>
      <w:suff w:val="tab"/>
      <w:lvlText w:val="•"/>
      <w:rPr>
        <w:color w:val="3370ff"/>
      </w:rPr>
    </w:lvl>
  </w:abstractNum>
  <w:abstractNum w:abstractNumId="836543">
    <w:lvl>
      <w:numFmt w:val="bullet"/>
      <w:suff w:val="tab"/>
      <w:lvlText w:val="•"/>
      <w:rPr>
        <w:color w:val="3370ff"/>
      </w:rPr>
    </w:lvl>
  </w:abstractNum>
  <w:abstractNum w:abstractNumId="836544">
    <w:lvl>
      <w:numFmt w:val="bullet"/>
      <w:suff w:val="tab"/>
      <w:lvlText w:val="•"/>
      <w:rPr>
        <w:color w:val="3370ff"/>
      </w:rPr>
    </w:lvl>
  </w:abstractNum>
  <w:abstractNum w:abstractNumId="836545">
    <w:lvl>
      <w:numFmt w:val="bullet"/>
      <w:suff w:val="tab"/>
      <w:lvlText w:val="•"/>
      <w:rPr>
        <w:color w:val="3370ff"/>
      </w:rPr>
    </w:lvl>
  </w:abstractNum>
  <w:abstractNum w:abstractNumId="836546">
    <w:lvl>
      <w:numFmt w:val="bullet"/>
      <w:suff w:val="tab"/>
      <w:lvlText w:val="•"/>
      <w:rPr>
        <w:color w:val="3370ff"/>
      </w:rPr>
    </w:lvl>
  </w:abstractNum>
  <w:abstractNum w:abstractNumId="836547">
    <w:lvl>
      <w:numFmt w:val="bullet"/>
      <w:suff w:val="tab"/>
      <w:lvlText w:val="•"/>
      <w:rPr>
        <w:color w:val="3370ff"/>
      </w:rPr>
    </w:lvl>
  </w:abstractNum>
  <w:num w:numId="1">
    <w:abstractNumId w:val="836513"/>
  </w:num>
  <w:num w:numId="2">
    <w:abstractNumId w:val="836514"/>
  </w:num>
  <w:num w:numId="3">
    <w:abstractNumId w:val="836515"/>
  </w:num>
  <w:num w:numId="4">
    <w:abstractNumId w:val="836516"/>
  </w:num>
  <w:num w:numId="5">
    <w:abstractNumId w:val="836517"/>
  </w:num>
  <w:num w:numId="6">
    <w:abstractNumId w:val="836518"/>
  </w:num>
  <w:num w:numId="7">
    <w:abstractNumId w:val="836519"/>
  </w:num>
  <w:num w:numId="8">
    <w:abstractNumId w:val="836520"/>
  </w:num>
  <w:num w:numId="9">
    <w:abstractNumId w:val="836521"/>
  </w:num>
  <w:num w:numId="10">
    <w:abstractNumId w:val="836522"/>
  </w:num>
  <w:num w:numId="11">
    <w:abstractNumId w:val="836523"/>
  </w:num>
  <w:num w:numId="12">
    <w:abstractNumId w:val="836524"/>
  </w:num>
  <w:num w:numId="13">
    <w:abstractNumId w:val="836525"/>
  </w:num>
  <w:num w:numId="14">
    <w:abstractNumId w:val="836526"/>
  </w:num>
  <w:num w:numId="15">
    <w:abstractNumId w:val="836527"/>
  </w:num>
  <w:num w:numId="16">
    <w:abstractNumId w:val="836528"/>
  </w:num>
  <w:num w:numId="17">
    <w:abstractNumId w:val="836529"/>
  </w:num>
  <w:num w:numId="18">
    <w:abstractNumId w:val="836530"/>
  </w:num>
  <w:num w:numId="19">
    <w:abstractNumId w:val="836531"/>
  </w:num>
  <w:num w:numId="20">
    <w:abstractNumId w:val="836532"/>
  </w:num>
  <w:num w:numId="21">
    <w:abstractNumId w:val="836533"/>
  </w:num>
  <w:num w:numId="22">
    <w:abstractNumId w:val="836534"/>
  </w:num>
  <w:num w:numId="23">
    <w:abstractNumId w:val="836535"/>
  </w:num>
  <w:num w:numId="24">
    <w:abstractNumId w:val="836536"/>
  </w:num>
  <w:num w:numId="25">
    <w:abstractNumId w:val="836537"/>
  </w:num>
  <w:num w:numId="26">
    <w:abstractNumId w:val="836538"/>
  </w:num>
  <w:num w:numId="27">
    <w:abstractNumId w:val="836539"/>
  </w:num>
  <w:num w:numId="28">
    <w:abstractNumId w:val="836540"/>
  </w:num>
  <w:num w:numId="29">
    <w:abstractNumId w:val="836541"/>
  </w:num>
  <w:num w:numId="30">
    <w:abstractNumId w:val="836542"/>
  </w:num>
  <w:num w:numId="31">
    <w:abstractNumId w:val="836543"/>
  </w:num>
  <w:num w:numId="32">
    <w:abstractNumId w:val="836544"/>
  </w:num>
  <w:num w:numId="33">
    <w:abstractNumId w:val="836545"/>
  </w:num>
  <w:num w:numId="34">
    <w:abstractNumId w:val="836546"/>
  </w:num>
  <w:num w:numId="35">
    <w:abstractNumId w:val="8365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2026-09-03T05:35:14Z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{"Label":"1","ContentProducer":"001191110102MACQD9K64010000","ProduceID":"7681178392154753995","ReservedCode1":"","ContentPropagator":"","PropagateID":"","ReservedCode2":""}</vt:lpwstr>
  </property>
</Properties>
</file>