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Pr>
        <w:jc w:val="center"/>
        <w:rPr>
          <w:rFonts w:ascii="黑体" w:hAnsi="黑体" w:eastAsia="黑体" w:cs="Times New Roman"/>
          <w:sz w:val="52"/>
          <w:szCs w:val="52"/>
        </w:rPr>
      </w:pPr>
      <w:r>
        <w:rPr>
          <w:rFonts w:hint="eastAsia" w:ascii="黑体" w:hAnsi="黑体" w:eastAsia="黑体" w:cs="Times New Roman"/>
          <w:sz w:val="52"/>
          <w:szCs w:val="52"/>
          <w:lang w:val="en-US" w:eastAsia="zh-CN"/>
        </w:rPr>
        <w:t>有色在线套利</w:t>
      </w:r>
      <w:r>
        <w:rPr>
          <w:rFonts w:hint="eastAsia" w:ascii="黑体" w:hAnsi="黑体" w:eastAsia="黑体" w:cs="Times New Roman"/>
          <w:sz w:val="52"/>
          <w:szCs w:val="52"/>
        </w:rPr>
        <w:t>策略交易平台</w:t>
      </w:r>
    </w:p>
    <w:p>
      <w:pPr>
        <w:jc w:val="center"/>
        <w:rPr>
          <w:rFonts w:ascii="黑体" w:hAnsi="黑体" w:eastAsia="黑体" w:cs="Times New Roman"/>
          <w:sz w:val="52"/>
          <w:szCs w:val="52"/>
        </w:rPr>
      </w:pPr>
    </w:p>
    <w:p>
      <w:pPr>
        <w:jc w:val="center"/>
        <w:rPr>
          <w:rFonts w:ascii="黑体" w:hAnsi="黑体" w:eastAsia="黑体" w:cs="Times New Roman"/>
          <w:sz w:val="52"/>
          <w:szCs w:val="52"/>
        </w:rPr>
      </w:pPr>
      <w:r>
        <w:rPr>
          <w:rFonts w:hint="eastAsia" w:ascii="黑体" w:hAnsi="黑体" w:eastAsia="黑体" w:cs="Times New Roman"/>
          <w:sz w:val="52"/>
          <w:szCs w:val="52"/>
        </w:rPr>
        <w:t>入</w:t>
      </w:r>
    </w:p>
    <w:p>
      <w:pPr>
        <w:jc w:val="center"/>
        <w:rPr>
          <w:rFonts w:ascii="黑体" w:hAnsi="黑体" w:eastAsia="黑体" w:cs="Times New Roman"/>
          <w:sz w:val="52"/>
          <w:szCs w:val="52"/>
        </w:rPr>
      </w:pPr>
      <w:r>
        <w:rPr>
          <w:rFonts w:hint="eastAsia" w:ascii="黑体" w:hAnsi="黑体" w:eastAsia="黑体" w:cs="Times New Roman"/>
          <w:sz w:val="52"/>
          <w:szCs w:val="52"/>
        </w:rPr>
        <w:t>门</w:t>
      </w:r>
    </w:p>
    <w:p>
      <w:pPr>
        <w:jc w:val="center"/>
        <w:rPr>
          <w:rFonts w:ascii="黑体" w:hAnsi="黑体" w:eastAsia="黑体" w:cs="Times New Roman"/>
          <w:sz w:val="52"/>
          <w:szCs w:val="52"/>
        </w:rPr>
      </w:pPr>
      <w:r>
        <w:rPr>
          <w:rFonts w:ascii="黑体" w:hAnsi="黑体" w:eastAsia="黑体" w:cs="Times New Roman"/>
          <w:sz w:val="52"/>
          <w:szCs w:val="52"/>
        </w:rPr>
        <w:t>指</w:t>
      </w:r>
    </w:p>
    <w:p>
      <w:pPr>
        <w:jc w:val="center"/>
        <w:rPr>
          <w:rFonts w:ascii="黑体" w:hAnsi="黑体" w:eastAsia="黑体" w:cs="Times New Roman"/>
          <w:sz w:val="52"/>
          <w:szCs w:val="52"/>
        </w:rPr>
      </w:pPr>
      <w:r>
        <w:rPr>
          <w:rFonts w:ascii="黑体" w:hAnsi="黑体" w:eastAsia="黑体" w:cs="Times New Roman"/>
          <w:sz w:val="52"/>
          <w:szCs w:val="52"/>
        </w:rPr>
        <w:t>南</w:t>
      </w:r>
    </w:p>
    <w:p>
      <w:pPr>
        <w:jc w:val="center"/>
        <w:rPr>
          <w:rFonts w:ascii="黑体" w:hAnsi="黑体" w:eastAsia="黑体" w:cs="Times New Roman"/>
          <w:sz w:val="52"/>
          <w:szCs w:val="52"/>
        </w:rPr>
      </w:pPr>
    </w:p>
    <w:p>
      <w:pPr>
        <w:jc w:val="center"/>
        <w:rPr>
          <w:rFonts w:ascii="黑体" w:hAnsi="黑体" w:eastAsia="黑体" w:cs="Times New Roman"/>
          <w:sz w:val="52"/>
          <w:szCs w:val="52"/>
        </w:rPr>
      </w:pPr>
      <w:r>
        <w:rPr>
          <w:rFonts w:hint="eastAsia" w:ascii="黑体" w:hAnsi="黑体" w:eastAsia="黑体" w:cs="Times New Roman"/>
          <w:sz w:val="52"/>
          <w:szCs w:val="52"/>
        </w:rPr>
        <w:t>201</w:t>
      </w:r>
      <w:r>
        <w:rPr>
          <w:rFonts w:hint="eastAsia" w:ascii="黑体" w:hAnsi="黑体" w:eastAsia="黑体" w:cs="Times New Roman"/>
          <w:sz w:val="52"/>
          <w:szCs w:val="52"/>
          <w:lang w:val="en-US" w:eastAsia="zh-CN"/>
        </w:rPr>
        <w:t>7</w:t>
      </w:r>
      <w:r>
        <w:rPr>
          <w:rFonts w:hint="eastAsia" w:ascii="黑体" w:hAnsi="黑体" w:eastAsia="黑体" w:cs="Times New Roman"/>
          <w:sz w:val="52"/>
          <w:szCs w:val="52"/>
        </w:rPr>
        <w:t>年</w:t>
      </w:r>
      <w:r>
        <w:rPr>
          <w:rFonts w:hint="eastAsia" w:ascii="黑体" w:hAnsi="黑体" w:eastAsia="黑体" w:cs="Times New Roman"/>
          <w:sz w:val="52"/>
          <w:szCs w:val="52"/>
          <w:lang w:val="en-US" w:eastAsia="zh-CN"/>
        </w:rPr>
        <w:t>6</w:t>
      </w:r>
      <w:r>
        <w:rPr>
          <w:rFonts w:hint="eastAsia" w:ascii="黑体" w:hAnsi="黑体" w:eastAsia="黑体" w:cs="Times New Roman"/>
          <w:sz w:val="52"/>
          <w:szCs w:val="52"/>
        </w:rPr>
        <w:t>月</w:t>
      </w:r>
    </w:p>
    <w:p>
      <w:p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outlineLvl w:val="0"/>
        <w:rPr>
          <w:rFonts w:ascii="华文细黑" w:hAnsi="华文细黑" w:eastAsia="华文细黑"/>
          <w:b/>
          <w:sz w:val="30"/>
          <w:szCs w:val="30"/>
        </w:rPr>
      </w:pPr>
    </w:p>
    <w:p>
      <w:pPr>
        <w:jc w:val="center"/>
        <w:rPr>
          <w:rFonts w:ascii="宋体" w:hAnsi="宋体"/>
          <w:b/>
          <w:sz w:val="44"/>
          <w:szCs w:val="44"/>
        </w:rPr>
      </w:pPr>
      <w:r>
        <w:rPr>
          <w:rFonts w:hint="eastAsia" w:ascii="宋体" w:hAnsi="宋体"/>
          <w:b/>
          <w:sz w:val="44"/>
          <w:szCs w:val="44"/>
        </w:rPr>
        <w:t>文档</w:t>
      </w:r>
      <w:r>
        <w:rPr>
          <w:rFonts w:ascii="宋体" w:hAnsi="宋体"/>
          <w:b/>
          <w:sz w:val="44"/>
          <w:szCs w:val="44"/>
        </w:rPr>
        <w:t>记录</w:t>
      </w:r>
    </w:p>
    <w:p>
      <w:pPr>
        <w:jc w:val="center"/>
        <w:rPr>
          <w:szCs w:val="21"/>
        </w:rPr>
      </w:pPr>
    </w:p>
    <w:tbl>
      <w:tblPr>
        <w:tblStyle w:val="11"/>
        <w:tblW w:w="7741" w:type="dxa"/>
        <w:jc w:val="center"/>
        <w:tblInd w:w="-754" w:type="dxa"/>
        <w:tblLayout w:type="fixed"/>
        <w:tblCellMar>
          <w:top w:w="0" w:type="dxa"/>
          <w:left w:w="108" w:type="dxa"/>
          <w:bottom w:w="0" w:type="dxa"/>
          <w:right w:w="108" w:type="dxa"/>
        </w:tblCellMar>
      </w:tblPr>
      <w:tblGrid>
        <w:gridCol w:w="1504"/>
        <w:gridCol w:w="1417"/>
        <w:gridCol w:w="1560"/>
        <w:gridCol w:w="3260"/>
      </w:tblGrid>
      <w:tr>
        <w:tblPrEx>
          <w:tblLayout w:type="fixed"/>
          <w:tblCellMar>
            <w:top w:w="0" w:type="dxa"/>
            <w:left w:w="108" w:type="dxa"/>
            <w:bottom w:w="0" w:type="dxa"/>
            <w:right w:w="108" w:type="dxa"/>
          </w:tblCellMar>
        </w:tblPrEx>
        <w:trPr>
          <w:cantSplit/>
          <w:trHeight w:val="404" w:hRule="atLeast"/>
          <w:tblHeader/>
          <w:jc w:val="center"/>
        </w:trPr>
        <w:tc>
          <w:tcPr>
            <w:tcW w:w="1504" w:type="dxa"/>
            <w:tcBorders>
              <w:top w:val="single" w:color="auto" w:sz="6" w:space="0"/>
              <w:left w:val="single" w:color="auto" w:sz="6" w:space="0"/>
              <w:bottom w:val="single" w:color="auto" w:sz="6" w:space="0"/>
              <w:right w:val="single" w:color="auto" w:sz="6" w:space="0"/>
            </w:tcBorders>
            <w:vAlign w:val="center"/>
          </w:tcPr>
          <w:p>
            <w:pPr>
              <w:jc w:val="center"/>
              <w:rPr>
                <w:sz w:val="24"/>
                <w:szCs w:val="24"/>
              </w:rPr>
            </w:pPr>
            <w:r>
              <w:rPr>
                <w:rFonts w:hint="eastAsia" w:hAnsi="宋体"/>
                <w:sz w:val="24"/>
                <w:szCs w:val="24"/>
              </w:rPr>
              <w:t>日期</w:t>
            </w:r>
          </w:p>
        </w:tc>
        <w:tc>
          <w:tcPr>
            <w:tcW w:w="1417" w:type="dxa"/>
            <w:tcBorders>
              <w:top w:val="single" w:color="auto" w:sz="6" w:space="0"/>
              <w:left w:val="single" w:color="auto" w:sz="6" w:space="0"/>
              <w:bottom w:val="single" w:color="auto" w:sz="6" w:space="0"/>
              <w:right w:val="single" w:color="auto" w:sz="6" w:space="0"/>
            </w:tcBorders>
            <w:vAlign w:val="center"/>
          </w:tcPr>
          <w:p>
            <w:pPr>
              <w:jc w:val="center"/>
              <w:rPr>
                <w:sz w:val="24"/>
                <w:szCs w:val="24"/>
              </w:rPr>
            </w:pPr>
            <w:r>
              <w:rPr>
                <w:rFonts w:hint="eastAsia" w:hAnsi="宋体"/>
                <w:sz w:val="24"/>
                <w:szCs w:val="24"/>
              </w:rPr>
              <w:t>文档版本</w:t>
            </w:r>
          </w:p>
        </w:tc>
        <w:tc>
          <w:tcPr>
            <w:tcW w:w="1560" w:type="dxa"/>
            <w:tcBorders>
              <w:top w:val="single" w:color="auto" w:sz="6" w:space="0"/>
              <w:left w:val="single" w:color="auto" w:sz="6" w:space="0"/>
              <w:bottom w:val="single" w:color="auto" w:sz="6" w:space="0"/>
              <w:right w:val="single" w:color="auto" w:sz="6" w:space="0"/>
            </w:tcBorders>
            <w:vAlign w:val="center"/>
          </w:tcPr>
          <w:p>
            <w:pPr>
              <w:jc w:val="center"/>
              <w:rPr>
                <w:sz w:val="24"/>
                <w:szCs w:val="24"/>
              </w:rPr>
            </w:pPr>
            <w:r>
              <w:rPr>
                <w:rFonts w:hint="eastAsia"/>
                <w:sz w:val="24"/>
                <w:szCs w:val="24"/>
              </w:rPr>
              <w:t>修改人</w:t>
            </w:r>
          </w:p>
        </w:tc>
        <w:tc>
          <w:tcPr>
            <w:tcW w:w="3260" w:type="dxa"/>
            <w:tcBorders>
              <w:top w:val="single" w:color="auto" w:sz="6" w:space="0"/>
              <w:left w:val="single" w:color="auto" w:sz="6" w:space="0"/>
              <w:bottom w:val="single" w:color="auto" w:sz="6" w:space="0"/>
              <w:right w:val="single" w:color="auto" w:sz="6" w:space="0"/>
            </w:tcBorders>
            <w:vAlign w:val="center"/>
          </w:tcPr>
          <w:p>
            <w:pPr>
              <w:jc w:val="center"/>
              <w:rPr>
                <w:sz w:val="24"/>
                <w:szCs w:val="24"/>
              </w:rPr>
            </w:pPr>
            <w:r>
              <w:rPr>
                <w:rFonts w:hint="eastAsia"/>
                <w:sz w:val="24"/>
                <w:szCs w:val="24"/>
              </w:rPr>
              <w:t>备注</w:t>
            </w:r>
          </w:p>
        </w:tc>
      </w:tr>
      <w:tr>
        <w:tblPrEx>
          <w:tblLayout w:type="fixed"/>
          <w:tblCellMar>
            <w:top w:w="0" w:type="dxa"/>
            <w:left w:w="108" w:type="dxa"/>
            <w:bottom w:w="0" w:type="dxa"/>
            <w:right w:w="108" w:type="dxa"/>
          </w:tblCellMar>
        </w:tblPrEx>
        <w:trPr>
          <w:cantSplit/>
          <w:trHeight w:val="386" w:hRule="atLeast"/>
          <w:jc w:val="center"/>
        </w:trPr>
        <w:tc>
          <w:tcPr>
            <w:tcW w:w="1504" w:type="dxa"/>
            <w:tcBorders>
              <w:top w:val="single" w:color="auto" w:sz="6" w:space="0"/>
              <w:left w:val="single" w:color="auto" w:sz="6" w:space="0"/>
              <w:bottom w:val="single" w:color="auto" w:sz="6" w:space="0"/>
              <w:right w:val="single" w:color="auto" w:sz="6" w:space="0"/>
            </w:tcBorders>
            <w:vAlign w:val="center"/>
          </w:tcPr>
          <w:p>
            <w:pPr>
              <w:pStyle w:val="12"/>
              <w:keepNext w:val="0"/>
              <w:jc w:val="center"/>
              <w:rPr>
                <w:rFonts w:ascii="Times New Roman" w:hAnsi="Times New Roman"/>
                <w:sz w:val="24"/>
                <w:szCs w:val="24"/>
              </w:rPr>
            </w:pPr>
            <w:r>
              <w:rPr>
                <w:rFonts w:hint="eastAsia" w:ascii="Times New Roman" w:hAnsi="Times New Roman"/>
                <w:sz w:val="24"/>
                <w:szCs w:val="24"/>
              </w:rPr>
              <w:t>201</w:t>
            </w:r>
            <w:r>
              <w:rPr>
                <w:rFonts w:hint="eastAsia" w:ascii="Times New Roman" w:hAnsi="Times New Roman"/>
                <w:sz w:val="24"/>
                <w:szCs w:val="24"/>
                <w:lang w:val="en-US" w:eastAsia="zh-CN"/>
              </w:rPr>
              <w:t>7</w:t>
            </w:r>
            <w:r>
              <w:rPr>
                <w:rFonts w:hint="eastAsia" w:ascii="Times New Roman" w:hAnsi="Times New Roman"/>
                <w:sz w:val="24"/>
                <w:szCs w:val="24"/>
              </w:rPr>
              <w:t>-</w:t>
            </w:r>
            <w:r>
              <w:rPr>
                <w:rFonts w:hint="eastAsia" w:ascii="Times New Roman" w:hAnsi="Times New Roman"/>
                <w:sz w:val="24"/>
                <w:szCs w:val="24"/>
                <w:lang w:val="en-US" w:eastAsia="zh-CN"/>
              </w:rPr>
              <w:t>06</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9</w:t>
            </w:r>
          </w:p>
        </w:tc>
        <w:tc>
          <w:tcPr>
            <w:tcW w:w="1417" w:type="dxa"/>
            <w:tcBorders>
              <w:top w:val="single" w:color="auto" w:sz="6" w:space="0"/>
              <w:left w:val="single" w:color="auto" w:sz="6" w:space="0"/>
              <w:bottom w:val="single" w:color="auto" w:sz="6" w:space="0"/>
              <w:right w:val="single" w:color="auto" w:sz="6" w:space="0"/>
            </w:tcBorders>
            <w:vAlign w:val="center"/>
          </w:tcPr>
          <w:p>
            <w:pPr>
              <w:pStyle w:val="12"/>
              <w:keepNext w:val="0"/>
              <w:jc w:val="center"/>
              <w:rPr>
                <w:rFonts w:ascii="Times New Roman" w:hAnsi="Times New Roman"/>
                <w:sz w:val="24"/>
                <w:szCs w:val="24"/>
              </w:rPr>
            </w:pPr>
            <w:r>
              <w:rPr>
                <w:rFonts w:hint="eastAsia" w:ascii="Times New Roman" w:hAnsi="Times New Roman"/>
                <w:sz w:val="24"/>
                <w:szCs w:val="24"/>
              </w:rPr>
              <w:t>v1.0</w:t>
            </w:r>
          </w:p>
        </w:tc>
        <w:tc>
          <w:tcPr>
            <w:tcW w:w="1560" w:type="dxa"/>
            <w:tcBorders>
              <w:top w:val="single" w:color="auto" w:sz="6" w:space="0"/>
              <w:left w:val="single" w:color="auto" w:sz="6" w:space="0"/>
              <w:bottom w:val="single" w:color="auto" w:sz="6" w:space="0"/>
              <w:right w:val="single" w:color="auto" w:sz="6" w:space="0"/>
            </w:tcBorders>
            <w:vAlign w:val="center"/>
          </w:tcPr>
          <w:p>
            <w:pPr>
              <w:pStyle w:val="12"/>
              <w:jc w:val="center"/>
              <w:rPr>
                <w:rFonts w:hint="eastAsia" w:ascii="Times New Roman" w:hAnsi="Times New Roman" w:eastAsia="宋体"/>
                <w:sz w:val="24"/>
                <w:szCs w:val="24"/>
                <w:lang w:val="en-US" w:eastAsia="zh-CN"/>
              </w:rPr>
            </w:pPr>
            <w:r>
              <w:rPr>
                <w:rFonts w:hint="eastAsia" w:ascii="Times New Roman" w:hAnsi="Times New Roman"/>
                <w:sz w:val="24"/>
                <w:szCs w:val="24"/>
                <w:lang w:val="en-US" w:eastAsia="zh-CN"/>
              </w:rPr>
              <w:t>韩宇</w:t>
            </w:r>
          </w:p>
        </w:tc>
        <w:tc>
          <w:tcPr>
            <w:tcW w:w="3260" w:type="dxa"/>
            <w:tcBorders>
              <w:top w:val="single" w:color="auto" w:sz="6" w:space="0"/>
              <w:left w:val="single" w:color="auto" w:sz="6" w:space="0"/>
              <w:bottom w:val="single" w:color="auto" w:sz="6" w:space="0"/>
              <w:right w:val="single" w:color="auto" w:sz="6" w:space="0"/>
            </w:tcBorders>
          </w:tcPr>
          <w:p>
            <w:pPr>
              <w:pStyle w:val="12"/>
              <w:jc w:val="both"/>
              <w:rPr>
                <w:sz w:val="24"/>
                <w:szCs w:val="24"/>
              </w:rPr>
            </w:pPr>
            <w:r>
              <w:rPr>
                <w:rFonts w:hint="eastAsia"/>
                <w:sz w:val="24"/>
                <w:szCs w:val="24"/>
              </w:rPr>
              <w:t>文档建立</w:t>
            </w:r>
          </w:p>
        </w:tc>
      </w:tr>
      <w:tr>
        <w:tblPrEx>
          <w:tblLayout w:type="fixed"/>
          <w:tblCellMar>
            <w:top w:w="0" w:type="dxa"/>
            <w:left w:w="108" w:type="dxa"/>
            <w:bottom w:w="0" w:type="dxa"/>
            <w:right w:w="108" w:type="dxa"/>
          </w:tblCellMar>
        </w:tblPrEx>
        <w:trPr>
          <w:cantSplit/>
          <w:trHeight w:val="386" w:hRule="atLeast"/>
          <w:jc w:val="center"/>
        </w:trPr>
        <w:tc>
          <w:tcPr>
            <w:tcW w:w="1504" w:type="dxa"/>
            <w:tcBorders>
              <w:top w:val="single" w:color="auto" w:sz="6" w:space="0"/>
              <w:left w:val="single" w:color="auto" w:sz="6" w:space="0"/>
              <w:bottom w:val="single" w:color="auto" w:sz="6" w:space="0"/>
              <w:right w:val="single" w:color="auto" w:sz="6" w:space="0"/>
            </w:tcBorders>
            <w:vAlign w:val="center"/>
          </w:tcPr>
          <w:p>
            <w:pPr>
              <w:pStyle w:val="12"/>
              <w:keepNext w:val="0"/>
              <w:jc w:val="center"/>
              <w:rPr>
                <w:rFonts w:ascii="Times New Roman" w:hAnsi="Times New Roman"/>
                <w:sz w:val="24"/>
                <w:szCs w:val="24"/>
              </w:rPr>
            </w:pPr>
            <w:r>
              <w:rPr>
                <w:rFonts w:hint="eastAsia" w:ascii="Times New Roman" w:hAnsi="Times New Roman"/>
                <w:sz w:val="24"/>
                <w:szCs w:val="24"/>
              </w:rPr>
              <w:t>201</w:t>
            </w:r>
            <w:r>
              <w:rPr>
                <w:rFonts w:hint="eastAsia" w:ascii="Times New Roman" w:hAnsi="Times New Roman"/>
                <w:sz w:val="24"/>
                <w:szCs w:val="24"/>
                <w:lang w:val="en-US" w:eastAsia="zh-CN"/>
              </w:rPr>
              <w:t>7</w:t>
            </w:r>
            <w:r>
              <w:rPr>
                <w:rFonts w:hint="eastAsia" w:ascii="Times New Roman" w:hAnsi="Times New Roman"/>
                <w:sz w:val="24"/>
                <w:szCs w:val="24"/>
              </w:rPr>
              <w:t>-</w:t>
            </w:r>
            <w:r>
              <w:rPr>
                <w:rFonts w:hint="eastAsia" w:ascii="Times New Roman" w:hAnsi="Times New Roman"/>
                <w:sz w:val="24"/>
                <w:szCs w:val="24"/>
                <w:lang w:val="en-US" w:eastAsia="zh-CN"/>
              </w:rPr>
              <w:t>06</w:t>
            </w:r>
            <w:r>
              <w:rPr>
                <w:rFonts w:hint="eastAsia" w:ascii="Times New Roman" w:hAnsi="Times New Roman"/>
                <w:sz w:val="24"/>
                <w:szCs w:val="24"/>
              </w:rPr>
              <w:t>-1</w:t>
            </w:r>
            <w:r>
              <w:rPr>
                <w:rFonts w:hint="eastAsia" w:ascii="Times New Roman" w:hAnsi="Times New Roman"/>
                <w:sz w:val="24"/>
                <w:szCs w:val="24"/>
                <w:lang w:val="en-US" w:eastAsia="zh-CN"/>
              </w:rPr>
              <w:t>9</w:t>
            </w:r>
          </w:p>
        </w:tc>
        <w:tc>
          <w:tcPr>
            <w:tcW w:w="1417" w:type="dxa"/>
            <w:tcBorders>
              <w:top w:val="single" w:color="auto" w:sz="6" w:space="0"/>
              <w:left w:val="single" w:color="auto" w:sz="6" w:space="0"/>
              <w:bottom w:val="single" w:color="auto" w:sz="6" w:space="0"/>
              <w:right w:val="single" w:color="auto" w:sz="6" w:space="0"/>
            </w:tcBorders>
            <w:vAlign w:val="center"/>
          </w:tcPr>
          <w:p>
            <w:pPr>
              <w:pStyle w:val="12"/>
              <w:keepNext w:val="0"/>
              <w:jc w:val="center"/>
              <w:rPr>
                <w:rFonts w:ascii="Times New Roman" w:hAnsi="Times New Roman"/>
                <w:sz w:val="24"/>
                <w:szCs w:val="24"/>
              </w:rPr>
            </w:pPr>
            <w:r>
              <w:rPr>
                <w:rFonts w:hint="eastAsia" w:ascii="Times New Roman" w:hAnsi="Times New Roman"/>
                <w:sz w:val="24"/>
                <w:szCs w:val="24"/>
              </w:rPr>
              <w:t>v1.0</w:t>
            </w:r>
          </w:p>
        </w:tc>
        <w:tc>
          <w:tcPr>
            <w:tcW w:w="1560" w:type="dxa"/>
            <w:tcBorders>
              <w:top w:val="single" w:color="auto" w:sz="6" w:space="0"/>
              <w:left w:val="single" w:color="auto" w:sz="6" w:space="0"/>
              <w:bottom w:val="single" w:color="auto" w:sz="6" w:space="0"/>
              <w:right w:val="single" w:color="auto" w:sz="6" w:space="0"/>
            </w:tcBorders>
            <w:vAlign w:val="center"/>
          </w:tcPr>
          <w:p>
            <w:pPr>
              <w:pStyle w:val="12"/>
              <w:keepNext w:val="0"/>
              <w:jc w:val="center"/>
              <w:rPr>
                <w:rFonts w:hint="eastAsia" w:eastAsia="宋体"/>
                <w:sz w:val="24"/>
                <w:szCs w:val="24"/>
                <w:lang w:val="en-US" w:eastAsia="zh-CN"/>
              </w:rPr>
            </w:pPr>
            <w:r>
              <w:rPr>
                <w:rFonts w:hint="eastAsia"/>
                <w:sz w:val="24"/>
                <w:szCs w:val="24"/>
                <w:lang w:val="en-US" w:eastAsia="zh-CN"/>
              </w:rPr>
              <w:t>刘名</w:t>
            </w:r>
          </w:p>
        </w:tc>
        <w:tc>
          <w:tcPr>
            <w:tcW w:w="3260" w:type="dxa"/>
            <w:tcBorders>
              <w:top w:val="single" w:color="auto" w:sz="6" w:space="0"/>
              <w:left w:val="single" w:color="auto" w:sz="6" w:space="0"/>
              <w:bottom w:val="single" w:color="auto" w:sz="6" w:space="0"/>
              <w:right w:val="single" w:color="auto" w:sz="6" w:space="0"/>
            </w:tcBorders>
          </w:tcPr>
          <w:p>
            <w:pPr>
              <w:pStyle w:val="12"/>
              <w:keepNext w:val="0"/>
              <w:jc w:val="both"/>
              <w:rPr>
                <w:rFonts w:hint="eastAsia" w:eastAsia="宋体"/>
                <w:sz w:val="24"/>
                <w:szCs w:val="24"/>
                <w:lang w:val="en-US" w:eastAsia="zh-CN"/>
              </w:rPr>
            </w:pPr>
            <w:r>
              <w:rPr>
                <w:rFonts w:hint="eastAsia"/>
                <w:sz w:val="24"/>
                <w:szCs w:val="24"/>
                <w:lang w:val="en-US" w:eastAsia="zh-CN"/>
              </w:rPr>
              <w:t>文档的审核和修改</w:t>
            </w:r>
          </w:p>
        </w:tc>
      </w:tr>
      <w:tr>
        <w:tblPrEx>
          <w:tblLayout w:type="fixed"/>
          <w:tblCellMar>
            <w:top w:w="0" w:type="dxa"/>
            <w:left w:w="108" w:type="dxa"/>
            <w:bottom w:w="0" w:type="dxa"/>
            <w:right w:w="108" w:type="dxa"/>
          </w:tblCellMar>
        </w:tblPrEx>
        <w:trPr>
          <w:cantSplit/>
          <w:trHeight w:val="386" w:hRule="atLeast"/>
          <w:jc w:val="center"/>
        </w:trPr>
        <w:tc>
          <w:tcPr>
            <w:tcW w:w="1504" w:type="dxa"/>
            <w:tcBorders>
              <w:top w:val="single" w:color="auto" w:sz="6" w:space="0"/>
              <w:left w:val="single" w:color="auto" w:sz="6" w:space="0"/>
              <w:bottom w:val="single" w:color="auto" w:sz="6" w:space="0"/>
              <w:right w:val="single" w:color="auto" w:sz="6" w:space="0"/>
            </w:tcBorders>
            <w:vAlign w:val="center"/>
          </w:tcPr>
          <w:p>
            <w:pPr>
              <w:pStyle w:val="12"/>
              <w:keepNext w:val="0"/>
              <w:jc w:val="center"/>
              <w:rPr>
                <w:sz w:val="24"/>
                <w:szCs w:val="24"/>
              </w:rPr>
            </w:pPr>
          </w:p>
        </w:tc>
        <w:tc>
          <w:tcPr>
            <w:tcW w:w="1417" w:type="dxa"/>
            <w:tcBorders>
              <w:top w:val="single" w:color="auto" w:sz="6" w:space="0"/>
              <w:left w:val="single" w:color="auto" w:sz="6" w:space="0"/>
              <w:bottom w:val="single" w:color="auto" w:sz="6" w:space="0"/>
              <w:right w:val="single" w:color="auto" w:sz="6" w:space="0"/>
            </w:tcBorders>
            <w:vAlign w:val="center"/>
          </w:tcPr>
          <w:p>
            <w:pPr>
              <w:pStyle w:val="12"/>
              <w:keepNext w:val="0"/>
              <w:jc w:val="center"/>
              <w:rPr>
                <w:sz w:val="24"/>
                <w:szCs w:val="24"/>
              </w:rPr>
            </w:pPr>
          </w:p>
        </w:tc>
        <w:tc>
          <w:tcPr>
            <w:tcW w:w="1560" w:type="dxa"/>
            <w:tcBorders>
              <w:top w:val="single" w:color="auto" w:sz="6" w:space="0"/>
              <w:left w:val="single" w:color="auto" w:sz="6" w:space="0"/>
              <w:bottom w:val="single" w:color="auto" w:sz="6" w:space="0"/>
              <w:right w:val="single" w:color="auto" w:sz="6" w:space="0"/>
            </w:tcBorders>
            <w:vAlign w:val="center"/>
          </w:tcPr>
          <w:p>
            <w:pPr>
              <w:pStyle w:val="12"/>
              <w:keepNext w:val="0"/>
              <w:jc w:val="center"/>
              <w:rPr>
                <w:sz w:val="24"/>
                <w:szCs w:val="24"/>
              </w:rPr>
            </w:pPr>
          </w:p>
        </w:tc>
        <w:tc>
          <w:tcPr>
            <w:tcW w:w="3260" w:type="dxa"/>
            <w:tcBorders>
              <w:top w:val="single" w:color="auto" w:sz="6" w:space="0"/>
              <w:left w:val="single" w:color="auto" w:sz="6" w:space="0"/>
              <w:bottom w:val="single" w:color="auto" w:sz="6" w:space="0"/>
              <w:right w:val="single" w:color="auto" w:sz="6" w:space="0"/>
            </w:tcBorders>
          </w:tcPr>
          <w:p>
            <w:pPr>
              <w:pStyle w:val="12"/>
              <w:keepNext w:val="0"/>
              <w:jc w:val="both"/>
              <w:rPr>
                <w:sz w:val="24"/>
                <w:szCs w:val="24"/>
              </w:rPr>
            </w:pPr>
          </w:p>
        </w:tc>
      </w:tr>
      <w:tr>
        <w:tblPrEx>
          <w:tblLayout w:type="fixed"/>
          <w:tblCellMar>
            <w:top w:w="0" w:type="dxa"/>
            <w:left w:w="108" w:type="dxa"/>
            <w:bottom w:w="0" w:type="dxa"/>
            <w:right w:w="108" w:type="dxa"/>
          </w:tblCellMar>
        </w:tblPrEx>
        <w:trPr>
          <w:cantSplit/>
          <w:trHeight w:val="366" w:hRule="atLeast"/>
          <w:jc w:val="center"/>
        </w:trPr>
        <w:tc>
          <w:tcPr>
            <w:tcW w:w="1504" w:type="dxa"/>
            <w:tcBorders>
              <w:top w:val="single" w:color="auto" w:sz="6" w:space="0"/>
              <w:left w:val="single" w:color="auto" w:sz="6" w:space="0"/>
              <w:bottom w:val="single" w:color="auto" w:sz="6" w:space="0"/>
              <w:right w:val="single" w:color="auto" w:sz="6" w:space="0"/>
            </w:tcBorders>
            <w:vAlign w:val="center"/>
          </w:tcPr>
          <w:p>
            <w:pPr>
              <w:pStyle w:val="12"/>
              <w:keepNext w:val="0"/>
              <w:jc w:val="center"/>
              <w:rPr>
                <w:sz w:val="24"/>
                <w:szCs w:val="24"/>
              </w:rPr>
            </w:pPr>
          </w:p>
        </w:tc>
        <w:tc>
          <w:tcPr>
            <w:tcW w:w="1417" w:type="dxa"/>
            <w:tcBorders>
              <w:top w:val="single" w:color="auto" w:sz="6" w:space="0"/>
              <w:left w:val="single" w:color="auto" w:sz="6" w:space="0"/>
              <w:bottom w:val="single" w:color="auto" w:sz="6" w:space="0"/>
              <w:right w:val="single" w:color="auto" w:sz="6" w:space="0"/>
            </w:tcBorders>
            <w:vAlign w:val="center"/>
          </w:tcPr>
          <w:p>
            <w:pPr>
              <w:pStyle w:val="12"/>
              <w:keepNext w:val="0"/>
              <w:jc w:val="center"/>
              <w:rPr>
                <w:sz w:val="24"/>
                <w:szCs w:val="24"/>
              </w:rPr>
            </w:pPr>
          </w:p>
        </w:tc>
        <w:tc>
          <w:tcPr>
            <w:tcW w:w="1560" w:type="dxa"/>
            <w:tcBorders>
              <w:top w:val="single" w:color="auto" w:sz="6" w:space="0"/>
              <w:left w:val="single" w:color="auto" w:sz="6" w:space="0"/>
              <w:bottom w:val="single" w:color="auto" w:sz="6" w:space="0"/>
              <w:right w:val="single" w:color="auto" w:sz="6" w:space="0"/>
            </w:tcBorders>
            <w:vAlign w:val="center"/>
          </w:tcPr>
          <w:p>
            <w:pPr>
              <w:pStyle w:val="12"/>
              <w:keepNext w:val="0"/>
              <w:jc w:val="center"/>
              <w:rPr>
                <w:sz w:val="24"/>
                <w:szCs w:val="24"/>
              </w:rPr>
            </w:pPr>
          </w:p>
        </w:tc>
        <w:tc>
          <w:tcPr>
            <w:tcW w:w="3260" w:type="dxa"/>
            <w:tcBorders>
              <w:top w:val="single" w:color="auto" w:sz="6" w:space="0"/>
              <w:left w:val="single" w:color="auto" w:sz="6" w:space="0"/>
              <w:bottom w:val="single" w:color="auto" w:sz="6" w:space="0"/>
              <w:right w:val="single" w:color="auto" w:sz="6" w:space="0"/>
            </w:tcBorders>
          </w:tcPr>
          <w:p>
            <w:pPr>
              <w:pStyle w:val="12"/>
              <w:keepNext w:val="0"/>
              <w:jc w:val="both"/>
              <w:rPr>
                <w:sz w:val="24"/>
                <w:szCs w:val="24"/>
              </w:rPr>
            </w:pPr>
          </w:p>
        </w:tc>
      </w:tr>
      <w:tr>
        <w:tblPrEx>
          <w:tblLayout w:type="fixed"/>
          <w:tblCellMar>
            <w:top w:w="0" w:type="dxa"/>
            <w:left w:w="108" w:type="dxa"/>
            <w:bottom w:w="0" w:type="dxa"/>
            <w:right w:w="108" w:type="dxa"/>
          </w:tblCellMar>
        </w:tblPrEx>
        <w:trPr>
          <w:cantSplit/>
          <w:trHeight w:val="386" w:hRule="atLeast"/>
          <w:jc w:val="center"/>
        </w:trPr>
        <w:tc>
          <w:tcPr>
            <w:tcW w:w="1504" w:type="dxa"/>
            <w:tcBorders>
              <w:top w:val="single" w:color="auto" w:sz="6" w:space="0"/>
              <w:left w:val="single" w:color="auto" w:sz="6" w:space="0"/>
              <w:bottom w:val="single" w:color="auto" w:sz="6" w:space="0"/>
              <w:right w:val="single" w:color="auto" w:sz="6" w:space="0"/>
            </w:tcBorders>
            <w:vAlign w:val="center"/>
          </w:tcPr>
          <w:p>
            <w:pPr>
              <w:pStyle w:val="12"/>
              <w:keepNext w:val="0"/>
              <w:jc w:val="center"/>
              <w:rPr>
                <w:sz w:val="24"/>
                <w:szCs w:val="24"/>
              </w:rPr>
            </w:pPr>
          </w:p>
        </w:tc>
        <w:tc>
          <w:tcPr>
            <w:tcW w:w="1417" w:type="dxa"/>
            <w:tcBorders>
              <w:top w:val="single" w:color="auto" w:sz="6" w:space="0"/>
              <w:left w:val="single" w:color="auto" w:sz="6" w:space="0"/>
              <w:bottom w:val="single" w:color="auto" w:sz="6" w:space="0"/>
              <w:right w:val="single" w:color="auto" w:sz="6" w:space="0"/>
            </w:tcBorders>
            <w:vAlign w:val="center"/>
          </w:tcPr>
          <w:p>
            <w:pPr>
              <w:pStyle w:val="12"/>
              <w:keepNext w:val="0"/>
              <w:jc w:val="center"/>
              <w:rPr>
                <w:sz w:val="24"/>
                <w:szCs w:val="24"/>
              </w:rPr>
            </w:pPr>
          </w:p>
        </w:tc>
        <w:tc>
          <w:tcPr>
            <w:tcW w:w="1560" w:type="dxa"/>
            <w:tcBorders>
              <w:top w:val="single" w:color="auto" w:sz="6" w:space="0"/>
              <w:left w:val="single" w:color="auto" w:sz="6" w:space="0"/>
              <w:bottom w:val="single" w:color="auto" w:sz="6" w:space="0"/>
              <w:right w:val="single" w:color="auto" w:sz="6" w:space="0"/>
            </w:tcBorders>
            <w:vAlign w:val="center"/>
          </w:tcPr>
          <w:p>
            <w:pPr>
              <w:pStyle w:val="12"/>
              <w:keepNext w:val="0"/>
              <w:jc w:val="center"/>
              <w:rPr>
                <w:sz w:val="24"/>
                <w:szCs w:val="24"/>
              </w:rPr>
            </w:pPr>
          </w:p>
        </w:tc>
        <w:tc>
          <w:tcPr>
            <w:tcW w:w="3260" w:type="dxa"/>
            <w:tcBorders>
              <w:top w:val="single" w:color="auto" w:sz="6" w:space="0"/>
              <w:left w:val="single" w:color="auto" w:sz="6" w:space="0"/>
              <w:bottom w:val="single" w:color="auto" w:sz="6" w:space="0"/>
              <w:right w:val="single" w:color="auto" w:sz="6" w:space="0"/>
            </w:tcBorders>
          </w:tcPr>
          <w:p>
            <w:pPr>
              <w:pStyle w:val="12"/>
              <w:keepNext w:val="0"/>
              <w:jc w:val="both"/>
              <w:rPr>
                <w:sz w:val="24"/>
                <w:szCs w:val="24"/>
              </w:rPr>
            </w:pPr>
          </w:p>
        </w:tc>
      </w:tr>
      <w:tr>
        <w:tblPrEx>
          <w:tblLayout w:type="fixed"/>
          <w:tblCellMar>
            <w:top w:w="0" w:type="dxa"/>
            <w:left w:w="108" w:type="dxa"/>
            <w:bottom w:w="0" w:type="dxa"/>
            <w:right w:w="108" w:type="dxa"/>
          </w:tblCellMar>
        </w:tblPrEx>
        <w:trPr>
          <w:cantSplit/>
          <w:trHeight w:val="386" w:hRule="atLeast"/>
          <w:jc w:val="center"/>
        </w:trPr>
        <w:tc>
          <w:tcPr>
            <w:tcW w:w="1504" w:type="dxa"/>
            <w:tcBorders>
              <w:top w:val="single" w:color="auto" w:sz="6" w:space="0"/>
              <w:left w:val="single" w:color="auto" w:sz="6" w:space="0"/>
              <w:bottom w:val="single" w:color="auto" w:sz="6" w:space="0"/>
              <w:right w:val="single" w:color="auto" w:sz="6" w:space="0"/>
            </w:tcBorders>
            <w:vAlign w:val="center"/>
          </w:tcPr>
          <w:p>
            <w:pPr>
              <w:pStyle w:val="12"/>
              <w:keepNext w:val="0"/>
              <w:jc w:val="center"/>
              <w:rPr>
                <w:sz w:val="24"/>
                <w:szCs w:val="24"/>
              </w:rPr>
            </w:pPr>
          </w:p>
        </w:tc>
        <w:tc>
          <w:tcPr>
            <w:tcW w:w="1417" w:type="dxa"/>
            <w:tcBorders>
              <w:top w:val="single" w:color="auto" w:sz="6" w:space="0"/>
              <w:left w:val="single" w:color="auto" w:sz="6" w:space="0"/>
              <w:bottom w:val="single" w:color="auto" w:sz="6" w:space="0"/>
              <w:right w:val="single" w:color="auto" w:sz="6" w:space="0"/>
            </w:tcBorders>
            <w:vAlign w:val="center"/>
          </w:tcPr>
          <w:p>
            <w:pPr>
              <w:pStyle w:val="12"/>
              <w:keepNext w:val="0"/>
              <w:jc w:val="center"/>
              <w:rPr>
                <w:sz w:val="24"/>
                <w:szCs w:val="24"/>
              </w:rPr>
            </w:pPr>
          </w:p>
        </w:tc>
        <w:tc>
          <w:tcPr>
            <w:tcW w:w="1560" w:type="dxa"/>
            <w:tcBorders>
              <w:top w:val="single" w:color="auto" w:sz="6" w:space="0"/>
              <w:left w:val="single" w:color="auto" w:sz="6" w:space="0"/>
              <w:bottom w:val="single" w:color="auto" w:sz="6" w:space="0"/>
              <w:right w:val="single" w:color="auto" w:sz="6" w:space="0"/>
            </w:tcBorders>
            <w:vAlign w:val="center"/>
          </w:tcPr>
          <w:p>
            <w:pPr>
              <w:pStyle w:val="12"/>
              <w:keepNext w:val="0"/>
              <w:jc w:val="center"/>
              <w:rPr>
                <w:sz w:val="24"/>
                <w:szCs w:val="24"/>
              </w:rPr>
            </w:pPr>
          </w:p>
        </w:tc>
        <w:tc>
          <w:tcPr>
            <w:tcW w:w="3260" w:type="dxa"/>
            <w:tcBorders>
              <w:top w:val="single" w:color="auto" w:sz="6" w:space="0"/>
              <w:left w:val="single" w:color="auto" w:sz="6" w:space="0"/>
              <w:bottom w:val="single" w:color="auto" w:sz="6" w:space="0"/>
              <w:right w:val="single" w:color="auto" w:sz="6" w:space="0"/>
            </w:tcBorders>
          </w:tcPr>
          <w:p>
            <w:pPr>
              <w:pStyle w:val="12"/>
              <w:keepNext w:val="0"/>
              <w:jc w:val="both"/>
              <w:rPr>
                <w:sz w:val="24"/>
                <w:szCs w:val="24"/>
              </w:rPr>
            </w:pPr>
          </w:p>
        </w:tc>
      </w:tr>
      <w:tr>
        <w:tblPrEx>
          <w:tblLayout w:type="fixed"/>
          <w:tblCellMar>
            <w:top w:w="0" w:type="dxa"/>
            <w:left w:w="108" w:type="dxa"/>
            <w:bottom w:w="0" w:type="dxa"/>
            <w:right w:w="108" w:type="dxa"/>
          </w:tblCellMar>
        </w:tblPrEx>
        <w:trPr>
          <w:cantSplit/>
          <w:trHeight w:val="386" w:hRule="atLeast"/>
          <w:jc w:val="center"/>
        </w:trPr>
        <w:tc>
          <w:tcPr>
            <w:tcW w:w="1504" w:type="dxa"/>
            <w:tcBorders>
              <w:top w:val="single" w:color="auto" w:sz="6" w:space="0"/>
              <w:left w:val="single" w:color="auto" w:sz="6" w:space="0"/>
              <w:bottom w:val="single" w:color="auto" w:sz="6" w:space="0"/>
              <w:right w:val="single" w:color="auto" w:sz="6" w:space="0"/>
            </w:tcBorders>
            <w:vAlign w:val="center"/>
          </w:tcPr>
          <w:p>
            <w:pPr>
              <w:pStyle w:val="12"/>
              <w:keepNext w:val="0"/>
              <w:jc w:val="center"/>
              <w:rPr>
                <w:sz w:val="24"/>
                <w:szCs w:val="24"/>
              </w:rPr>
            </w:pPr>
          </w:p>
        </w:tc>
        <w:tc>
          <w:tcPr>
            <w:tcW w:w="1417" w:type="dxa"/>
            <w:tcBorders>
              <w:top w:val="single" w:color="auto" w:sz="6" w:space="0"/>
              <w:left w:val="single" w:color="auto" w:sz="6" w:space="0"/>
              <w:bottom w:val="single" w:color="auto" w:sz="6" w:space="0"/>
              <w:right w:val="single" w:color="auto" w:sz="6" w:space="0"/>
            </w:tcBorders>
            <w:vAlign w:val="center"/>
          </w:tcPr>
          <w:p>
            <w:pPr>
              <w:pStyle w:val="12"/>
              <w:keepNext w:val="0"/>
              <w:jc w:val="center"/>
              <w:rPr>
                <w:sz w:val="24"/>
                <w:szCs w:val="24"/>
              </w:rPr>
            </w:pPr>
          </w:p>
        </w:tc>
        <w:tc>
          <w:tcPr>
            <w:tcW w:w="1560" w:type="dxa"/>
            <w:tcBorders>
              <w:top w:val="single" w:color="auto" w:sz="6" w:space="0"/>
              <w:left w:val="single" w:color="auto" w:sz="6" w:space="0"/>
              <w:bottom w:val="single" w:color="auto" w:sz="6" w:space="0"/>
              <w:right w:val="single" w:color="auto" w:sz="6" w:space="0"/>
            </w:tcBorders>
            <w:vAlign w:val="center"/>
          </w:tcPr>
          <w:p>
            <w:pPr>
              <w:pStyle w:val="12"/>
              <w:keepNext w:val="0"/>
              <w:jc w:val="center"/>
              <w:rPr>
                <w:sz w:val="24"/>
                <w:szCs w:val="24"/>
              </w:rPr>
            </w:pPr>
          </w:p>
        </w:tc>
        <w:tc>
          <w:tcPr>
            <w:tcW w:w="3260" w:type="dxa"/>
            <w:tcBorders>
              <w:top w:val="single" w:color="auto" w:sz="6" w:space="0"/>
              <w:left w:val="single" w:color="auto" w:sz="6" w:space="0"/>
              <w:bottom w:val="single" w:color="auto" w:sz="6" w:space="0"/>
              <w:right w:val="single" w:color="auto" w:sz="6" w:space="0"/>
            </w:tcBorders>
          </w:tcPr>
          <w:p>
            <w:pPr>
              <w:pStyle w:val="12"/>
              <w:keepNext w:val="0"/>
              <w:jc w:val="both"/>
              <w:rPr>
                <w:sz w:val="24"/>
                <w:szCs w:val="24"/>
              </w:rPr>
            </w:pPr>
          </w:p>
        </w:tc>
      </w:tr>
      <w:tr>
        <w:tblPrEx>
          <w:tblLayout w:type="fixed"/>
          <w:tblCellMar>
            <w:top w:w="0" w:type="dxa"/>
            <w:left w:w="108" w:type="dxa"/>
            <w:bottom w:w="0" w:type="dxa"/>
            <w:right w:w="108" w:type="dxa"/>
          </w:tblCellMar>
        </w:tblPrEx>
        <w:trPr>
          <w:cantSplit/>
          <w:trHeight w:val="386" w:hRule="atLeast"/>
          <w:jc w:val="center"/>
        </w:trPr>
        <w:tc>
          <w:tcPr>
            <w:tcW w:w="1504" w:type="dxa"/>
            <w:tcBorders>
              <w:top w:val="single" w:color="auto" w:sz="6" w:space="0"/>
              <w:left w:val="single" w:color="auto" w:sz="6" w:space="0"/>
              <w:bottom w:val="single" w:color="auto" w:sz="6" w:space="0"/>
              <w:right w:val="single" w:color="auto" w:sz="6" w:space="0"/>
            </w:tcBorders>
            <w:vAlign w:val="center"/>
          </w:tcPr>
          <w:p>
            <w:pPr>
              <w:pStyle w:val="12"/>
              <w:keepNext w:val="0"/>
              <w:jc w:val="center"/>
              <w:rPr>
                <w:sz w:val="24"/>
                <w:szCs w:val="24"/>
              </w:rPr>
            </w:pPr>
          </w:p>
        </w:tc>
        <w:tc>
          <w:tcPr>
            <w:tcW w:w="1417" w:type="dxa"/>
            <w:tcBorders>
              <w:top w:val="single" w:color="auto" w:sz="6" w:space="0"/>
              <w:left w:val="single" w:color="auto" w:sz="6" w:space="0"/>
              <w:bottom w:val="single" w:color="auto" w:sz="6" w:space="0"/>
              <w:right w:val="single" w:color="auto" w:sz="6" w:space="0"/>
            </w:tcBorders>
            <w:vAlign w:val="center"/>
          </w:tcPr>
          <w:p>
            <w:pPr>
              <w:pStyle w:val="12"/>
              <w:keepNext w:val="0"/>
              <w:jc w:val="center"/>
              <w:rPr>
                <w:sz w:val="24"/>
                <w:szCs w:val="24"/>
              </w:rPr>
            </w:pPr>
          </w:p>
        </w:tc>
        <w:tc>
          <w:tcPr>
            <w:tcW w:w="1560" w:type="dxa"/>
            <w:tcBorders>
              <w:top w:val="single" w:color="auto" w:sz="6" w:space="0"/>
              <w:left w:val="single" w:color="auto" w:sz="6" w:space="0"/>
              <w:bottom w:val="single" w:color="auto" w:sz="6" w:space="0"/>
              <w:right w:val="single" w:color="auto" w:sz="6" w:space="0"/>
            </w:tcBorders>
            <w:vAlign w:val="center"/>
          </w:tcPr>
          <w:p>
            <w:pPr>
              <w:pStyle w:val="12"/>
              <w:keepNext w:val="0"/>
              <w:jc w:val="center"/>
              <w:rPr>
                <w:sz w:val="24"/>
                <w:szCs w:val="24"/>
              </w:rPr>
            </w:pPr>
          </w:p>
        </w:tc>
        <w:tc>
          <w:tcPr>
            <w:tcW w:w="3260" w:type="dxa"/>
            <w:tcBorders>
              <w:top w:val="single" w:color="auto" w:sz="6" w:space="0"/>
              <w:left w:val="single" w:color="auto" w:sz="6" w:space="0"/>
              <w:bottom w:val="single" w:color="auto" w:sz="6" w:space="0"/>
              <w:right w:val="single" w:color="auto" w:sz="6" w:space="0"/>
            </w:tcBorders>
          </w:tcPr>
          <w:p>
            <w:pPr>
              <w:pStyle w:val="12"/>
              <w:keepNext w:val="0"/>
              <w:jc w:val="both"/>
              <w:rPr>
                <w:sz w:val="24"/>
                <w:szCs w:val="24"/>
              </w:rPr>
            </w:pPr>
          </w:p>
        </w:tc>
      </w:tr>
      <w:tr>
        <w:tblPrEx>
          <w:tblLayout w:type="fixed"/>
          <w:tblCellMar>
            <w:top w:w="0" w:type="dxa"/>
            <w:left w:w="108" w:type="dxa"/>
            <w:bottom w:w="0" w:type="dxa"/>
            <w:right w:w="108" w:type="dxa"/>
          </w:tblCellMar>
        </w:tblPrEx>
        <w:trPr>
          <w:cantSplit/>
          <w:trHeight w:val="366" w:hRule="atLeast"/>
          <w:jc w:val="center"/>
        </w:trPr>
        <w:tc>
          <w:tcPr>
            <w:tcW w:w="1504" w:type="dxa"/>
            <w:tcBorders>
              <w:top w:val="single" w:color="auto" w:sz="6" w:space="0"/>
              <w:left w:val="single" w:color="auto" w:sz="6" w:space="0"/>
              <w:bottom w:val="single" w:color="auto" w:sz="6" w:space="0"/>
              <w:right w:val="single" w:color="auto" w:sz="6" w:space="0"/>
            </w:tcBorders>
            <w:vAlign w:val="center"/>
          </w:tcPr>
          <w:p>
            <w:pPr>
              <w:pStyle w:val="12"/>
              <w:keepNext w:val="0"/>
              <w:jc w:val="center"/>
              <w:rPr>
                <w:sz w:val="24"/>
                <w:szCs w:val="24"/>
              </w:rPr>
            </w:pPr>
          </w:p>
        </w:tc>
        <w:tc>
          <w:tcPr>
            <w:tcW w:w="1417" w:type="dxa"/>
            <w:tcBorders>
              <w:top w:val="single" w:color="auto" w:sz="6" w:space="0"/>
              <w:left w:val="single" w:color="auto" w:sz="6" w:space="0"/>
              <w:bottom w:val="single" w:color="auto" w:sz="6" w:space="0"/>
              <w:right w:val="single" w:color="auto" w:sz="6" w:space="0"/>
            </w:tcBorders>
            <w:vAlign w:val="center"/>
          </w:tcPr>
          <w:p>
            <w:pPr>
              <w:pStyle w:val="12"/>
              <w:keepNext w:val="0"/>
              <w:jc w:val="center"/>
              <w:rPr>
                <w:sz w:val="24"/>
                <w:szCs w:val="24"/>
              </w:rPr>
            </w:pPr>
          </w:p>
        </w:tc>
        <w:tc>
          <w:tcPr>
            <w:tcW w:w="1560" w:type="dxa"/>
            <w:tcBorders>
              <w:top w:val="single" w:color="auto" w:sz="6" w:space="0"/>
              <w:left w:val="single" w:color="auto" w:sz="6" w:space="0"/>
              <w:bottom w:val="single" w:color="auto" w:sz="6" w:space="0"/>
              <w:right w:val="single" w:color="auto" w:sz="6" w:space="0"/>
            </w:tcBorders>
            <w:vAlign w:val="center"/>
          </w:tcPr>
          <w:p>
            <w:pPr>
              <w:pStyle w:val="12"/>
              <w:keepNext w:val="0"/>
              <w:jc w:val="center"/>
              <w:rPr>
                <w:sz w:val="24"/>
                <w:szCs w:val="24"/>
              </w:rPr>
            </w:pPr>
          </w:p>
        </w:tc>
        <w:tc>
          <w:tcPr>
            <w:tcW w:w="3260" w:type="dxa"/>
            <w:tcBorders>
              <w:top w:val="single" w:color="auto" w:sz="6" w:space="0"/>
              <w:left w:val="single" w:color="auto" w:sz="6" w:space="0"/>
              <w:bottom w:val="single" w:color="auto" w:sz="6" w:space="0"/>
              <w:right w:val="single" w:color="auto" w:sz="6" w:space="0"/>
            </w:tcBorders>
          </w:tcPr>
          <w:p>
            <w:pPr>
              <w:pStyle w:val="12"/>
              <w:keepNext w:val="0"/>
              <w:jc w:val="both"/>
              <w:rPr>
                <w:sz w:val="24"/>
                <w:szCs w:val="24"/>
              </w:rPr>
            </w:pPr>
          </w:p>
        </w:tc>
      </w:tr>
      <w:tr>
        <w:tblPrEx>
          <w:tblLayout w:type="fixed"/>
          <w:tblCellMar>
            <w:top w:w="0" w:type="dxa"/>
            <w:left w:w="108" w:type="dxa"/>
            <w:bottom w:w="0" w:type="dxa"/>
            <w:right w:w="108" w:type="dxa"/>
          </w:tblCellMar>
        </w:tblPrEx>
        <w:trPr>
          <w:cantSplit/>
          <w:trHeight w:val="386" w:hRule="atLeast"/>
          <w:jc w:val="center"/>
        </w:trPr>
        <w:tc>
          <w:tcPr>
            <w:tcW w:w="1504" w:type="dxa"/>
            <w:tcBorders>
              <w:top w:val="single" w:color="auto" w:sz="6" w:space="0"/>
              <w:left w:val="single" w:color="auto" w:sz="6" w:space="0"/>
              <w:bottom w:val="single" w:color="auto" w:sz="6" w:space="0"/>
              <w:right w:val="single" w:color="auto" w:sz="6" w:space="0"/>
            </w:tcBorders>
            <w:vAlign w:val="center"/>
          </w:tcPr>
          <w:p>
            <w:pPr>
              <w:pStyle w:val="12"/>
              <w:keepNext w:val="0"/>
              <w:jc w:val="center"/>
              <w:rPr>
                <w:sz w:val="24"/>
                <w:szCs w:val="24"/>
              </w:rPr>
            </w:pPr>
          </w:p>
        </w:tc>
        <w:tc>
          <w:tcPr>
            <w:tcW w:w="1417" w:type="dxa"/>
            <w:tcBorders>
              <w:top w:val="single" w:color="auto" w:sz="6" w:space="0"/>
              <w:left w:val="single" w:color="auto" w:sz="6" w:space="0"/>
              <w:bottom w:val="single" w:color="auto" w:sz="6" w:space="0"/>
              <w:right w:val="single" w:color="auto" w:sz="6" w:space="0"/>
            </w:tcBorders>
            <w:vAlign w:val="center"/>
          </w:tcPr>
          <w:p>
            <w:pPr>
              <w:pStyle w:val="12"/>
              <w:keepNext w:val="0"/>
              <w:jc w:val="center"/>
              <w:rPr>
                <w:sz w:val="24"/>
                <w:szCs w:val="24"/>
              </w:rPr>
            </w:pPr>
          </w:p>
        </w:tc>
        <w:tc>
          <w:tcPr>
            <w:tcW w:w="1560" w:type="dxa"/>
            <w:tcBorders>
              <w:top w:val="single" w:color="auto" w:sz="6" w:space="0"/>
              <w:left w:val="single" w:color="auto" w:sz="6" w:space="0"/>
              <w:bottom w:val="single" w:color="auto" w:sz="6" w:space="0"/>
              <w:right w:val="single" w:color="auto" w:sz="6" w:space="0"/>
            </w:tcBorders>
            <w:vAlign w:val="center"/>
          </w:tcPr>
          <w:p>
            <w:pPr>
              <w:pStyle w:val="12"/>
              <w:keepNext w:val="0"/>
              <w:jc w:val="center"/>
              <w:rPr>
                <w:sz w:val="24"/>
                <w:szCs w:val="24"/>
              </w:rPr>
            </w:pPr>
          </w:p>
        </w:tc>
        <w:tc>
          <w:tcPr>
            <w:tcW w:w="3260" w:type="dxa"/>
            <w:tcBorders>
              <w:top w:val="single" w:color="auto" w:sz="6" w:space="0"/>
              <w:left w:val="single" w:color="auto" w:sz="6" w:space="0"/>
              <w:bottom w:val="single" w:color="auto" w:sz="6" w:space="0"/>
              <w:right w:val="single" w:color="auto" w:sz="6" w:space="0"/>
            </w:tcBorders>
          </w:tcPr>
          <w:p>
            <w:pPr>
              <w:pStyle w:val="12"/>
              <w:keepNext w:val="0"/>
              <w:jc w:val="both"/>
              <w:rPr>
                <w:sz w:val="24"/>
                <w:szCs w:val="24"/>
              </w:rPr>
            </w:pPr>
          </w:p>
        </w:tc>
      </w:tr>
    </w:tbl>
    <w:p>
      <w:pPr>
        <w:jc w:val="center"/>
        <w:rPr>
          <w:rFonts w:ascii="黑体" w:hAnsi="黑体" w:eastAsia="黑体" w:cs="Times New Roman"/>
          <w:sz w:val="52"/>
          <w:szCs w:val="52"/>
        </w:rPr>
      </w:pPr>
    </w:p>
    <w:p>
      <w:pPr>
        <w:sectPr>
          <w:pgSz w:w="11906" w:h="16838"/>
          <w:pgMar w:top="1440" w:right="1800" w:bottom="1440" w:left="1800" w:header="851" w:footer="992" w:gutter="0"/>
          <w:cols w:space="425" w:num="1"/>
          <w:docGrid w:type="lines" w:linePitch="312" w:charSpace="0"/>
        </w:sectPr>
      </w:pPr>
    </w:p>
    <w:p>
      <w:pPr>
        <w:pStyle w:val="13"/>
        <w:jc w:val="center"/>
        <w:rPr>
          <w:lang w:eastAsia="zh-CN"/>
        </w:rPr>
      </w:pPr>
      <w:r>
        <w:rPr>
          <w:rFonts w:hint="eastAsia"/>
          <w:lang w:eastAsia="zh-CN"/>
        </w:rPr>
        <w:t>目  录</w:t>
      </w:r>
    </w:p>
    <w:p>
      <w:pPr>
        <w:pStyle w:val="7"/>
        <w:tabs>
          <w:tab w:val="right" w:leader="dot" w:pos="8296"/>
        </w:tabs>
        <w:rPr>
          <w:rFonts w:asciiTheme="minorHAnsi" w:hAnsiTheme="minorHAnsi" w:eastAsiaTheme="minorEastAsia" w:cstheme="minorBidi"/>
        </w:rPr>
      </w:pPr>
      <w:r>
        <w:fldChar w:fldCharType="begin"/>
      </w:r>
      <w:r>
        <w:instrText xml:space="preserve"> TOC \o "1-3" \h \z \u </w:instrText>
      </w:r>
      <w:r>
        <w:fldChar w:fldCharType="separate"/>
      </w:r>
      <w:r>
        <w:fldChar w:fldCharType="begin"/>
      </w:r>
      <w:r>
        <w:instrText xml:space="preserve"> HYPERLINK \l "_Toc369188901" </w:instrText>
      </w:r>
      <w:r>
        <w:fldChar w:fldCharType="separate"/>
      </w:r>
      <w:r>
        <w:rPr>
          <w:rStyle w:val="10"/>
        </w:rPr>
        <w:t xml:space="preserve">1 </w:t>
      </w:r>
      <w:r>
        <w:rPr>
          <w:rStyle w:val="10"/>
          <w:rFonts w:hint="eastAsia"/>
        </w:rPr>
        <w:t>简介</w:t>
      </w:r>
      <w:r>
        <w:tab/>
      </w:r>
      <w:r>
        <w:fldChar w:fldCharType="begin"/>
      </w:r>
      <w:r>
        <w:instrText xml:space="preserve"> PAGEREF _Toc369188901 \h </w:instrText>
      </w:r>
      <w:r>
        <w:fldChar w:fldCharType="separate"/>
      </w:r>
      <w:r>
        <w:t>1</w:t>
      </w:r>
      <w:r>
        <w:fldChar w:fldCharType="end"/>
      </w:r>
      <w:r>
        <w:fldChar w:fldCharType="end"/>
      </w:r>
    </w:p>
    <w:p>
      <w:pPr>
        <w:pStyle w:val="8"/>
        <w:tabs>
          <w:tab w:val="left" w:pos="1050"/>
          <w:tab w:val="right" w:leader="dot" w:pos="8296"/>
        </w:tabs>
        <w:rPr>
          <w:rFonts w:asciiTheme="minorHAnsi" w:hAnsiTheme="minorHAnsi" w:eastAsiaTheme="minorEastAsia" w:cstheme="minorBidi"/>
        </w:rPr>
      </w:pPr>
      <w:r>
        <w:fldChar w:fldCharType="begin"/>
      </w:r>
      <w:r>
        <w:instrText xml:space="preserve"> HYPERLINK \l "_Toc369188902" </w:instrText>
      </w:r>
      <w:r>
        <w:fldChar w:fldCharType="separate"/>
      </w:r>
      <w:r>
        <w:rPr>
          <w:rStyle w:val="10"/>
        </w:rPr>
        <w:t>1.1</w:t>
      </w:r>
      <w:r>
        <w:rPr>
          <w:rStyle w:val="10"/>
          <w:rFonts w:hint="eastAsia"/>
        </w:rPr>
        <w:t>文档目的</w:t>
      </w:r>
      <w:r>
        <w:tab/>
      </w:r>
      <w:r>
        <w:rPr>
          <w:rFonts w:hint="eastAsia"/>
          <w:lang w:val="en-US" w:eastAsia="zh-CN"/>
        </w:rPr>
        <w:t>4</w:t>
      </w:r>
      <w:r>
        <w:fldChar w:fldCharType="end"/>
      </w:r>
    </w:p>
    <w:p>
      <w:pPr>
        <w:pStyle w:val="8"/>
        <w:tabs>
          <w:tab w:val="left" w:pos="1050"/>
          <w:tab w:val="right" w:leader="dot" w:pos="8296"/>
        </w:tabs>
      </w:pPr>
      <w:r>
        <w:fldChar w:fldCharType="begin"/>
      </w:r>
      <w:r>
        <w:instrText xml:space="preserve"> HYPERLINK \l "_Toc369188904" </w:instrText>
      </w:r>
      <w:r>
        <w:fldChar w:fldCharType="separate"/>
      </w:r>
      <w:r>
        <w:rPr>
          <w:rStyle w:val="10"/>
        </w:rPr>
        <w:t>1.</w:t>
      </w:r>
      <w:r>
        <w:rPr>
          <w:rStyle w:val="10"/>
          <w:rFonts w:hint="eastAsia"/>
          <w:lang w:val="en-US" w:eastAsia="zh-CN"/>
        </w:rPr>
        <w:t>2</w:t>
      </w:r>
      <w:r>
        <w:rPr>
          <w:rStyle w:val="10"/>
          <w:rFonts w:hint="eastAsia"/>
        </w:rPr>
        <w:t>系统介绍</w:t>
      </w:r>
      <w:r>
        <w:tab/>
      </w:r>
      <w:r>
        <w:rPr>
          <w:rFonts w:hint="eastAsia"/>
          <w:lang w:val="en-US" w:eastAsia="zh-CN"/>
        </w:rPr>
        <w:t>4</w:t>
      </w:r>
      <w:r>
        <w:fldChar w:fldCharType="end"/>
      </w:r>
    </w:p>
    <w:p>
      <w:pPr>
        <w:pStyle w:val="8"/>
        <w:tabs>
          <w:tab w:val="right" w:leader="dot" w:pos="8296"/>
        </w:tabs>
        <w:ind w:left="0" w:leftChars="0" w:firstLine="0" w:firstLineChars="0"/>
        <w:jc w:val="left"/>
      </w:pPr>
      <w:r>
        <w:fldChar w:fldCharType="begin"/>
      </w:r>
      <w:r>
        <w:instrText xml:space="preserve"> HYPERLINK \l "_Toc369188906" </w:instrText>
      </w:r>
      <w:r>
        <w:fldChar w:fldCharType="separate"/>
      </w:r>
      <w:r>
        <w:rPr>
          <w:rFonts w:hint="eastAsia"/>
          <w:lang w:val="en-US" w:eastAsia="zh-CN"/>
        </w:rPr>
        <w:t xml:space="preserve">    1.3系统默认套利规则</w:t>
      </w:r>
      <w:r>
        <w:tab/>
      </w:r>
      <w:r>
        <w:rPr>
          <w:rFonts w:hint="eastAsia"/>
          <w:lang w:val="en-US" w:eastAsia="zh-CN"/>
        </w:rPr>
        <w:t>5</w:t>
      </w:r>
      <w:r>
        <w:fldChar w:fldCharType="end"/>
      </w:r>
    </w:p>
    <w:p>
      <w:pPr>
        <w:pStyle w:val="7"/>
        <w:tabs>
          <w:tab w:val="right" w:leader="dot" w:pos="8296"/>
        </w:tabs>
        <w:rPr>
          <w:rFonts w:asciiTheme="minorHAnsi" w:hAnsiTheme="minorHAnsi" w:eastAsiaTheme="minorEastAsia" w:cstheme="minorBidi"/>
        </w:rPr>
      </w:pPr>
      <w:r>
        <w:fldChar w:fldCharType="begin"/>
      </w:r>
      <w:r>
        <w:instrText xml:space="preserve"> HYPERLINK \l "_Toc369188905" </w:instrText>
      </w:r>
      <w:r>
        <w:fldChar w:fldCharType="separate"/>
      </w:r>
      <w:r>
        <w:rPr>
          <w:rStyle w:val="10"/>
        </w:rPr>
        <w:t xml:space="preserve">2 </w:t>
      </w:r>
      <w:r>
        <w:rPr>
          <w:rStyle w:val="10"/>
          <w:rFonts w:hint="eastAsia"/>
          <w:lang w:val="en-US" w:eastAsia="zh-CN"/>
        </w:rPr>
        <w:t>Use套利策略交易平台</w:t>
      </w:r>
      <w:r>
        <w:rPr>
          <w:rStyle w:val="10"/>
          <w:rFonts w:hint="eastAsia"/>
        </w:rPr>
        <w:t>的基本使用</w:t>
      </w:r>
      <w:bookmarkStart w:id="0" w:name="OLE_LINK12"/>
      <w:r>
        <w:tab/>
      </w:r>
      <w:bookmarkEnd w:id="0"/>
      <w:r>
        <w:rPr>
          <w:rFonts w:hint="eastAsia"/>
          <w:lang w:val="en-US" w:eastAsia="zh-CN"/>
        </w:rPr>
        <w:t>6</w:t>
      </w:r>
      <w:r>
        <w:fldChar w:fldCharType="end"/>
      </w:r>
    </w:p>
    <w:p>
      <w:pPr>
        <w:pStyle w:val="8"/>
        <w:tabs>
          <w:tab w:val="right" w:leader="dot" w:pos="8296"/>
        </w:tabs>
      </w:pPr>
      <w:bookmarkStart w:id="1" w:name="OLE_LINK1"/>
      <w:r>
        <w:fldChar w:fldCharType="begin"/>
      </w:r>
      <w:r>
        <w:instrText xml:space="preserve"> HYPERLINK \l "_Toc369188906" </w:instrText>
      </w:r>
      <w:r>
        <w:fldChar w:fldCharType="separate"/>
      </w:r>
      <w:r>
        <w:rPr>
          <w:rStyle w:val="10"/>
        </w:rPr>
        <w:t>2.1</w:t>
      </w:r>
      <w:r>
        <w:rPr>
          <w:rStyle w:val="10"/>
          <w:rFonts w:hint="eastAsia"/>
        </w:rPr>
        <w:t>系统登录</w:t>
      </w:r>
      <w:bookmarkStart w:id="2" w:name="OLE_LINK11"/>
      <w:r>
        <w:tab/>
      </w:r>
      <w:bookmarkEnd w:id="2"/>
      <w:r>
        <w:rPr>
          <w:rFonts w:hint="eastAsia"/>
          <w:lang w:val="en-US" w:eastAsia="zh-CN"/>
        </w:rPr>
        <w:t>6</w:t>
      </w:r>
      <w:r>
        <w:fldChar w:fldCharType="end"/>
      </w:r>
    </w:p>
    <w:bookmarkEnd w:id="1"/>
    <w:p>
      <w:pPr>
        <w:pStyle w:val="8"/>
        <w:tabs>
          <w:tab w:val="right" w:leader="dot" w:pos="8296"/>
        </w:tabs>
      </w:pPr>
      <w:r>
        <w:fldChar w:fldCharType="begin"/>
      </w:r>
      <w:r>
        <w:instrText xml:space="preserve"> HYPERLINK \l "_Toc369188907" </w:instrText>
      </w:r>
      <w:r>
        <w:fldChar w:fldCharType="separate"/>
      </w:r>
      <w:r>
        <w:rPr>
          <w:rStyle w:val="10"/>
        </w:rPr>
        <w:t>2</w:t>
      </w:r>
      <w:r>
        <w:rPr>
          <w:rStyle w:val="10"/>
          <w:rFonts w:hint="eastAsia"/>
          <w:lang w:val="en-US" w:eastAsia="zh-CN"/>
        </w:rPr>
        <w:t>.2</w:t>
      </w:r>
      <w:r>
        <w:rPr>
          <w:rStyle w:val="10"/>
          <w:rFonts w:hint="eastAsia"/>
        </w:rPr>
        <w:t>系统主界面</w:t>
      </w:r>
      <w:r>
        <w:rPr>
          <w:rStyle w:val="10"/>
          <w:rFonts w:hint="eastAsia"/>
          <w:lang w:val="en-US" w:eastAsia="zh-CN"/>
        </w:rPr>
        <w:t>模块</w:t>
      </w:r>
      <w:r>
        <w:tab/>
      </w:r>
      <w:r>
        <w:rPr>
          <w:rFonts w:hint="eastAsia"/>
          <w:lang w:val="en-US" w:eastAsia="zh-CN"/>
        </w:rPr>
        <w:t>7</w:t>
      </w:r>
      <w:r>
        <w:fldChar w:fldCharType="end"/>
      </w:r>
    </w:p>
    <w:p>
      <w:pPr>
        <w:pStyle w:val="8"/>
        <w:tabs>
          <w:tab w:val="right" w:leader="dot" w:pos="8296"/>
        </w:tabs>
        <w:rPr>
          <w:rFonts w:asciiTheme="minorHAnsi" w:hAnsiTheme="minorHAnsi" w:eastAsiaTheme="minorEastAsia" w:cstheme="minorBidi"/>
        </w:rPr>
      </w:pPr>
      <w:r>
        <w:fldChar w:fldCharType="begin"/>
      </w:r>
      <w:r>
        <w:instrText xml:space="preserve"> HYPERLINK \l "_Toc369188908" </w:instrText>
      </w:r>
      <w:r>
        <w:fldChar w:fldCharType="separate"/>
      </w:r>
      <w:r>
        <w:rPr>
          <w:rStyle w:val="10"/>
        </w:rPr>
        <w:t>2</w:t>
      </w:r>
      <w:bookmarkStart w:id="3" w:name="OLE_LINK4"/>
      <w:r>
        <w:rPr>
          <w:rStyle w:val="10"/>
          <w:rFonts w:hint="eastAsia"/>
          <w:lang w:val="en-US" w:eastAsia="zh-CN"/>
        </w:rPr>
        <w:t>.3套利交易流程</w:t>
      </w:r>
      <w:bookmarkEnd w:id="3"/>
      <w:r>
        <w:tab/>
      </w:r>
      <w:r>
        <w:rPr>
          <w:rFonts w:hint="eastAsia"/>
          <w:lang w:val="en-US" w:eastAsia="zh-CN"/>
        </w:rPr>
        <w:t>1</w:t>
      </w:r>
      <w:r>
        <w:fldChar w:fldCharType="end"/>
      </w:r>
      <w:r>
        <w:rPr>
          <w:rFonts w:hint="eastAsia"/>
          <w:lang w:val="en-US" w:eastAsia="zh-CN"/>
        </w:rPr>
        <w:t>2</w:t>
      </w:r>
    </w:p>
    <w:p>
      <w:pPr>
        <w:pStyle w:val="4"/>
        <w:tabs>
          <w:tab w:val="right" w:leader="dot" w:pos="8296"/>
        </w:tabs>
        <w:rPr>
          <w:rFonts w:asciiTheme="minorHAnsi" w:hAnsiTheme="minorHAnsi" w:eastAsiaTheme="minorEastAsia" w:cstheme="minorBidi"/>
        </w:rPr>
      </w:pPr>
      <w:r>
        <w:fldChar w:fldCharType="begin"/>
      </w:r>
      <w:r>
        <w:instrText xml:space="preserve"> HYPERLINK \l "_Toc369188909" </w:instrText>
      </w:r>
      <w:r>
        <w:fldChar w:fldCharType="separate"/>
      </w:r>
      <w:bookmarkStart w:id="4" w:name="OLE_LINK5"/>
      <w:r>
        <w:rPr>
          <w:rStyle w:val="10"/>
        </w:rPr>
        <w:t>2</w:t>
      </w:r>
      <w:r>
        <w:rPr>
          <w:rStyle w:val="10"/>
          <w:rFonts w:hint="eastAsia"/>
          <w:lang w:val="en-US" w:eastAsia="zh-CN"/>
        </w:rPr>
        <w:t>.3</w:t>
      </w:r>
      <w:r>
        <w:rPr>
          <w:rStyle w:val="10"/>
        </w:rPr>
        <w:t>.1</w:t>
      </w:r>
      <w:r>
        <w:rPr>
          <w:rStyle w:val="10"/>
          <w:rFonts w:hint="eastAsia"/>
          <w:lang w:val="en-US" w:eastAsia="zh-CN"/>
        </w:rPr>
        <w:t xml:space="preserve"> 开仓流程</w:t>
      </w:r>
      <w:bookmarkEnd w:id="4"/>
      <w:r>
        <w:tab/>
      </w:r>
      <w:r>
        <w:rPr>
          <w:rFonts w:hint="eastAsia"/>
          <w:lang w:val="en-US" w:eastAsia="zh-CN"/>
        </w:rPr>
        <w:t>1</w:t>
      </w:r>
      <w:r>
        <w:fldChar w:fldCharType="end"/>
      </w:r>
      <w:r>
        <w:rPr>
          <w:rFonts w:hint="eastAsia"/>
          <w:lang w:val="en-US" w:eastAsia="zh-CN"/>
        </w:rPr>
        <w:t>3</w:t>
      </w:r>
    </w:p>
    <w:p>
      <w:pPr>
        <w:pStyle w:val="4"/>
        <w:tabs>
          <w:tab w:val="right" w:leader="dot" w:pos="8296"/>
        </w:tabs>
        <w:rPr>
          <w:rFonts w:asciiTheme="minorHAnsi" w:hAnsiTheme="minorHAnsi" w:eastAsiaTheme="minorEastAsia" w:cstheme="minorBidi"/>
        </w:rPr>
      </w:pPr>
      <w:r>
        <w:fldChar w:fldCharType="begin"/>
      </w:r>
      <w:r>
        <w:instrText xml:space="preserve"> HYPERLINK \l "_Toc369188910" </w:instrText>
      </w:r>
      <w:r>
        <w:fldChar w:fldCharType="separate"/>
      </w:r>
      <w:bookmarkStart w:id="5" w:name="OLE_LINK7"/>
      <w:r>
        <w:rPr>
          <w:rStyle w:val="10"/>
        </w:rPr>
        <w:t>2.</w:t>
      </w:r>
      <w:r>
        <w:rPr>
          <w:rStyle w:val="10"/>
          <w:rFonts w:hint="eastAsia"/>
          <w:lang w:val="en-US" w:eastAsia="zh-CN"/>
        </w:rPr>
        <w:t>3</w:t>
      </w:r>
      <w:r>
        <w:rPr>
          <w:rStyle w:val="10"/>
        </w:rPr>
        <w:t>.2</w:t>
      </w:r>
      <w:r>
        <w:rPr>
          <w:rStyle w:val="10"/>
          <w:rFonts w:hint="eastAsia"/>
          <w:lang w:val="en-US" w:eastAsia="zh-CN"/>
        </w:rPr>
        <w:t xml:space="preserve"> 仓位管理</w:t>
      </w:r>
      <w:bookmarkEnd w:id="5"/>
      <w:r>
        <w:tab/>
      </w:r>
      <w:r>
        <w:rPr>
          <w:rFonts w:hint="eastAsia"/>
          <w:lang w:val="en-US" w:eastAsia="zh-CN"/>
        </w:rPr>
        <w:t>1</w:t>
      </w:r>
      <w:r>
        <w:fldChar w:fldCharType="end"/>
      </w:r>
      <w:r>
        <w:rPr>
          <w:rFonts w:hint="eastAsia"/>
          <w:lang w:val="en-US" w:eastAsia="zh-CN"/>
        </w:rPr>
        <w:t>3</w:t>
      </w:r>
    </w:p>
    <w:p>
      <w:pPr>
        <w:pStyle w:val="4"/>
        <w:tabs>
          <w:tab w:val="right" w:leader="dot" w:pos="8296"/>
        </w:tabs>
      </w:pPr>
      <w:r>
        <w:fldChar w:fldCharType="begin"/>
      </w:r>
      <w:r>
        <w:instrText xml:space="preserve"> HYPERLINK \l "_Toc369188911" </w:instrText>
      </w:r>
      <w:r>
        <w:fldChar w:fldCharType="separate"/>
      </w:r>
      <w:bookmarkStart w:id="6" w:name="OLE_LINK9"/>
      <w:r>
        <w:rPr>
          <w:rStyle w:val="10"/>
        </w:rPr>
        <w:t>2.</w:t>
      </w:r>
      <w:r>
        <w:rPr>
          <w:rStyle w:val="10"/>
          <w:rFonts w:hint="eastAsia"/>
          <w:lang w:val="en-US" w:eastAsia="zh-CN"/>
        </w:rPr>
        <w:t>3</w:t>
      </w:r>
      <w:r>
        <w:rPr>
          <w:rStyle w:val="10"/>
        </w:rPr>
        <w:t>.3</w:t>
      </w:r>
      <w:r>
        <w:rPr>
          <w:rStyle w:val="10"/>
          <w:rFonts w:hint="eastAsia"/>
          <w:lang w:val="en-US" w:eastAsia="zh-CN"/>
        </w:rPr>
        <w:t xml:space="preserve"> 平仓流程</w:t>
      </w:r>
      <w:bookmarkEnd w:id="6"/>
      <w:bookmarkStart w:id="7" w:name="OLE_LINK13"/>
      <w:r>
        <w:tab/>
      </w:r>
      <w:bookmarkEnd w:id="7"/>
      <w:r>
        <w:rPr>
          <w:rFonts w:hint="eastAsia"/>
          <w:lang w:val="en-US" w:eastAsia="zh-CN"/>
        </w:rPr>
        <w:t>1</w:t>
      </w:r>
      <w:r>
        <w:fldChar w:fldCharType="end"/>
      </w:r>
      <w:r>
        <w:rPr>
          <w:rFonts w:hint="eastAsia"/>
          <w:lang w:val="en-US" w:eastAsia="zh-CN"/>
        </w:rPr>
        <w:t>5</w:t>
      </w:r>
    </w:p>
    <w:p>
      <w:pPr>
        <w:pStyle w:val="8"/>
        <w:tabs>
          <w:tab w:val="right" w:leader="dot" w:pos="8296"/>
        </w:tabs>
        <w:ind w:left="0" w:leftChars="0" w:firstLine="0" w:firstLineChars="0"/>
        <w:jc w:val="left"/>
      </w:pPr>
      <w:bookmarkStart w:id="8" w:name="OLE_LINK14"/>
      <w:r>
        <w:fldChar w:fldCharType="begin"/>
      </w:r>
      <w:r>
        <w:instrText xml:space="preserve"> HYPERLINK \l "_Toc369188906" </w:instrText>
      </w:r>
      <w:r>
        <w:fldChar w:fldCharType="separate"/>
      </w:r>
      <w:bookmarkStart w:id="9" w:name="OLE_LINK10"/>
      <w:r>
        <w:rPr>
          <w:rFonts w:hint="eastAsia"/>
          <w:lang w:val="en-US" w:eastAsia="zh-CN"/>
        </w:rPr>
        <w:t>3.</w:t>
      </w:r>
      <w:r>
        <w:rPr>
          <w:rStyle w:val="10"/>
          <w:rFonts w:hint="eastAsia"/>
          <w:lang w:val="en-US" w:eastAsia="zh-CN"/>
        </w:rPr>
        <w:t>异常委托单处理</w:t>
      </w:r>
      <w:bookmarkEnd w:id="9"/>
      <w:r>
        <w:tab/>
      </w:r>
      <w:r>
        <w:rPr>
          <w:rFonts w:hint="eastAsia"/>
          <w:lang w:val="en-US" w:eastAsia="zh-CN"/>
        </w:rPr>
        <w:t>1</w:t>
      </w:r>
      <w:r>
        <w:fldChar w:fldCharType="end"/>
      </w:r>
      <w:r>
        <w:rPr>
          <w:rFonts w:hint="eastAsia"/>
          <w:lang w:val="en-US" w:eastAsia="zh-CN"/>
        </w:rPr>
        <w:t>7</w:t>
      </w:r>
      <w:bookmarkStart w:id="20" w:name="_GoBack"/>
      <w:bookmarkEnd w:id="20"/>
    </w:p>
    <w:bookmarkEnd w:id="8"/>
    <w:p/>
    <w:p>
      <w:pPr>
        <w:sectPr>
          <w:pgSz w:w="11906" w:h="16838"/>
          <w:pgMar w:top="1440" w:right="1800" w:bottom="1440" w:left="1800" w:header="851" w:footer="992" w:gutter="0"/>
          <w:cols w:space="425" w:num="1"/>
          <w:docGrid w:type="lines" w:linePitch="312" w:charSpace="0"/>
        </w:sectPr>
      </w:pPr>
      <w:r>
        <w:rPr>
          <w:b/>
          <w:bCs/>
        </w:rPr>
        <w:fldChar w:fldCharType="end"/>
      </w:r>
    </w:p>
    <w:p>
      <w:pPr>
        <w:pStyle w:val="2"/>
      </w:pPr>
      <w:bookmarkStart w:id="10" w:name="_Toc369188901"/>
      <w:r>
        <w:rPr>
          <w:rFonts w:hint="eastAsia"/>
        </w:rPr>
        <w:t>1 简介</w:t>
      </w:r>
      <w:bookmarkEnd w:id="10"/>
    </w:p>
    <w:p>
      <w:pPr>
        <w:pStyle w:val="3"/>
        <w:numPr>
          <w:ilvl w:val="1"/>
          <w:numId w:val="1"/>
        </w:numPr>
      </w:pPr>
      <w:r>
        <w:rPr>
          <w:rFonts w:hint="eastAsia"/>
        </w:rPr>
        <w:t xml:space="preserve"> </w:t>
      </w:r>
      <w:bookmarkStart w:id="11" w:name="_Toc369188902"/>
      <w:r>
        <w:rPr>
          <w:rFonts w:hint="eastAsia"/>
        </w:rPr>
        <w:t>文档目的</w:t>
      </w:r>
      <w:bookmarkEnd w:id="11"/>
    </w:p>
    <w:p>
      <w:pPr>
        <w:spacing w:line="360" w:lineRule="auto"/>
        <w:ind w:firstLine="480" w:firstLineChars="200"/>
        <w:rPr>
          <w:sz w:val="24"/>
          <w:szCs w:val="24"/>
        </w:rPr>
      </w:pPr>
      <w:r>
        <w:rPr>
          <w:rFonts w:hint="eastAsia"/>
          <w:sz w:val="24"/>
          <w:szCs w:val="24"/>
        </w:rPr>
        <w:t>编写本文档的目的是让</w:t>
      </w:r>
      <w:r>
        <w:rPr>
          <w:rFonts w:hint="eastAsia"/>
          <w:sz w:val="24"/>
          <w:szCs w:val="24"/>
          <w:lang w:val="en-US" w:eastAsia="zh-CN"/>
        </w:rPr>
        <w:t>交易员</w:t>
      </w:r>
      <w:r>
        <w:rPr>
          <w:rFonts w:hint="eastAsia"/>
          <w:sz w:val="24"/>
          <w:szCs w:val="24"/>
        </w:rPr>
        <w:t>对</w:t>
      </w:r>
      <w:r>
        <w:rPr>
          <w:rFonts w:hint="eastAsia"/>
          <w:sz w:val="24"/>
          <w:szCs w:val="24"/>
          <w:lang w:val="en-US" w:eastAsia="zh-CN"/>
        </w:rPr>
        <w:t>Use有色在线</w:t>
      </w:r>
      <w:r>
        <w:rPr>
          <w:rFonts w:hint="eastAsia"/>
          <w:sz w:val="24"/>
          <w:szCs w:val="24"/>
        </w:rPr>
        <w:t>策略交易平台有一个直观形象的认识，尤其是</w:t>
      </w:r>
      <w:r>
        <w:rPr>
          <w:rFonts w:hint="eastAsia"/>
          <w:sz w:val="24"/>
          <w:szCs w:val="24"/>
          <w:lang w:val="en-US" w:eastAsia="zh-CN"/>
        </w:rPr>
        <w:t>套利交易参数的设定以及操作</w:t>
      </w:r>
      <w:r>
        <w:rPr>
          <w:rFonts w:hint="eastAsia"/>
          <w:sz w:val="24"/>
          <w:szCs w:val="24"/>
        </w:rPr>
        <w:t>的大致流程与步骤，并提供</w:t>
      </w:r>
      <w:r>
        <w:rPr>
          <w:rFonts w:hint="eastAsia"/>
          <w:sz w:val="24"/>
          <w:szCs w:val="24"/>
          <w:lang w:val="en-US" w:eastAsia="zh-CN"/>
        </w:rPr>
        <w:t>一个较为完整的套利交易实例</w:t>
      </w:r>
      <w:r>
        <w:rPr>
          <w:rFonts w:hint="eastAsia"/>
          <w:sz w:val="24"/>
          <w:szCs w:val="24"/>
        </w:rPr>
        <w:t>。本文档作为</w:t>
      </w:r>
      <w:r>
        <w:rPr>
          <w:rFonts w:hint="eastAsia"/>
          <w:sz w:val="24"/>
          <w:szCs w:val="24"/>
          <w:lang w:val="en-US" w:eastAsia="zh-CN"/>
        </w:rPr>
        <w:t>平台</w:t>
      </w:r>
      <w:r>
        <w:rPr>
          <w:rFonts w:hint="eastAsia"/>
          <w:sz w:val="24"/>
          <w:szCs w:val="24"/>
        </w:rPr>
        <w:t>的入门文档，旨在帮助</w:t>
      </w:r>
      <w:r>
        <w:rPr>
          <w:rFonts w:hint="eastAsia"/>
          <w:sz w:val="24"/>
          <w:szCs w:val="24"/>
          <w:lang w:val="en-US" w:eastAsia="zh-CN"/>
        </w:rPr>
        <w:t>交易员用户</w:t>
      </w:r>
      <w:r>
        <w:rPr>
          <w:rFonts w:hint="eastAsia"/>
          <w:sz w:val="24"/>
          <w:szCs w:val="24"/>
        </w:rPr>
        <w:t>迅速入门</w:t>
      </w:r>
      <w:r>
        <w:rPr>
          <w:rFonts w:hint="eastAsia"/>
          <w:sz w:val="24"/>
          <w:szCs w:val="24"/>
          <w:lang w:val="en-US" w:eastAsia="zh-CN"/>
        </w:rPr>
        <w:t>快捷交易，再次说明该平台相关的套利参数以及定义的规则为Use有色在线定制的套利规则，包含有套利交易员的个人风格和判断,和市场上普遍的套利交易有一定的区别</w:t>
      </w:r>
      <w:r>
        <w:rPr>
          <w:rFonts w:hint="eastAsia"/>
          <w:sz w:val="24"/>
          <w:szCs w:val="24"/>
        </w:rPr>
        <w:t>。</w:t>
      </w:r>
    </w:p>
    <w:p>
      <w:pPr>
        <w:pStyle w:val="3"/>
        <w:numPr>
          <w:ilvl w:val="1"/>
          <w:numId w:val="1"/>
        </w:numPr>
      </w:pPr>
      <w:r>
        <w:rPr>
          <w:rFonts w:hint="eastAsia"/>
        </w:rPr>
        <w:t xml:space="preserve"> </w:t>
      </w:r>
      <w:bookmarkStart w:id="12" w:name="_Toc369188904"/>
      <w:r>
        <w:rPr>
          <w:rFonts w:hint="eastAsia"/>
        </w:rPr>
        <w:t>系统介绍</w:t>
      </w:r>
      <w:bookmarkEnd w:id="12"/>
    </w:p>
    <w:p>
      <w:pPr>
        <w:spacing w:line="360" w:lineRule="auto"/>
        <w:ind w:firstLine="480" w:firstLineChars="200"/>
        <w:rPr>
          <w:rFonts w:hint="eastAsia"/>
          <w:sz w:val="24"/>
          <w:szCs w:val="24"/>
        </w:rPr>
      </w:pPr>
      <w:r>
        <w:rPr>
          <w:rFonts w:hint="eastAsia"/>
          <w:sz w:val="24"/>
          <w:szCs w:val="24"/>
          <w:lang w:val="en-US" w:eastAsia="zh-CN"/>
        </w:rPr>
        <w:t>Use套利</w:t>
      </w:r>
      <w:r>
        <w:rPr>
          <w:rFonts w:hint="eastAsia"/>
          <w:sz w:val="24"/>
          <w:szCs w:val="24"/>
        </w:rPr>
        <w:t>策略交易平台，是一套基于</w:t>
      </w:r>
      <w:r>
        <w:rPr>
          <w:rFonts w:hint="eastAsia"/>
          <w:sz w:val="24"/>
          <w:szCs w:val="24"/>
          <w:lang w:val="en-US" w:eastAsia="zh-CN"/>
        </w:rPr>
        <w:t>上期技术</w:t>
      </w:r>
      <w:r>
        <w:rPr>
          <w:rFonts w:hint="eastAsia"/>
          <w:sz w:val="24"/>
          <w:szCs w:val="24"/>
        </w:rPr>
        <w:t>CTP交易接口的交易平台。</w:t>
      </w:r>
    </w:p>
    <w:p>
      <w:pPr>
        <w:spacing w:line="360" w:lineRule="auto"/>
        <w:ind w:firstLine="480" w:firstLineChars="200"/>
        <w:rPr>
          <w:rFonts w:hint="eastAsia"/>
          <w:sz w:val="24"/>
          <w:szCs w:val="24"/>
        </w:rPr>
      </w:pPr>
    </w:p>
    <w:p>
      <w:pPr>
        <w:spacing w:line="360" w:lineRule="auto"/>
        <w:ind w:firstLine="480" w:firstLineChars="200"/>
        <w:rPr>
          <w:rFonts w:hint="eastAsia"/>
          <w:sz w:val="24"/>
          <w:szCs w:val="24"/>
        </w:rPr>
      </w:pPr>
      <w:r>
        <w:rPr>
          <w:rFonts w:hint="eastAsia"/>
          <w:sz w:val="24"/>
          <w:szCs w:val="24"/>
        </w:rPr>
        <w:t>系统特色：</w:t>
      </w:r>
    </w:p>
    <w:p>
      <w:pPr>
        <w:spacing w:line="360" w:lineRule="auto"/>
        <w:ind w:firstLine="480" w:firstLineChars="200"/>
        <w:rPr>
          <w:rFonts w:hint="eastAsia"/>
          <w:sz w:val="24"/>
          <w:szCs w:val="24"/>
        </w:rPr>
      </w:pPr>
    </w:p>
    <w:p>
      <w:pPr>
        <w:numPr>
          <w:ilvl w:val="0"/>
          <w:numId w:val="2"/>
        </w:numPr>
        <w:spacing w:line="360" w:lineRule="auto"/>
        <w:ind w:firstLine="480" w:firstLineChars="200"/>
        <w:rPr>
          <w:rFonts w:hint="eastAsia"/>
          <w:sz w:val="24"/>
          <w:szCs w:val="24"/>
        </w:rPr>
      </w:pPr>
      <w:r>
        <w:rPr>
          <w:rFonts w:hint="eastAsia"/>
          <w:sz w:val="24"/>
          <w:szCs w:val="24"/>
        </w:rPr>
        <w:t>策略执行过程为多线程并发执行</w:t>
      </w:r>
      <w:r>
        <w:rPr>
          <w:rFonts w:hint="eastAsia"/>
          <w:sz w:val="24"/>
          <w:szCs w:val="24"/>
          <w:lang w:eastAsia="zh-CN"/>
        </w:rPr>
        <w:t>，</w:t>
      </w:r>
      <w:r>
        <w:rPr>
          <w:rFonts w:hint="eastAsia"/>
          <w:sz w:val="24"/>
          <w:szCs w:val="24"/>
          <w:lang w:val="en-US" w:eastAsia="zh-CN"/>
        </w:rPr>
        <w:t>多个套利子任务可同时执行</w:t>
      </w:r>
      <w:r>
        <w:rPr>
          <w:rFonts w:hint="eastAsia"/>
          <w:sz w:val="24"/>
          <w:szCs w:val="24"/>
        </w:rPr>
        <w:t>。</w:t>
      </w:r>
    </w:p>
    <w:p>
      <w:pPr>
        <w:numPr>
          <w:ilvl w:val="0"/>
          <w:numId w:val="0"/>
        </w:numPr>
        <w:spacing w:line="360" w:lineRule="auto"/>
        <w:rPr>
          <w:rFonts w:hint="eastAsia"/>
          <w:sz w:val="24"/>
          <w:szCs w:val="24"/>
        </w:rPr>
      </w:pPr>
    </w:p>
    <w:p>
      <w:pPr>
        <w:numPr>
          <w:ilvl w:val="0"/>
          <w:numId w:val="2"/>
        </w:numPr>
        <w:spacing w:line="360" w:lineRule="auto"/>
        <w:ind w:firstLine="480" w:firstLineChars="200"/>
        <w:rPr>
          <w:rFonts w:hint="eastAsia"/>
          <w:sz w:val="24"/>
          <w:szCs w:val="24"/>
        </w:rPr>
      </w:pPr>
      <w:r>
        <w:rPr>
          <w:rFonts w:hint="eastAsia"/>
          <w:sz w:val="24"/>
          <w:szCs w:val="24"/>
        </w:rPr>
        <w:t>平台语言为C#.Net，在Windows平台上执行效率高，易用性好。</w:t>
      </w:r>
    </w:p>
    <w:p>
      <w:pPr>
        <w:spacing w:line="360" w:lineRule="auto"/>
        <w:ind w:firstLine="480" w:firstLineChars="200"/>
        <w:rPr>
          <w:rFonts w:hint="eastAsia"/>
          <w:sz w:val="24"/>
          <w:szCs w:val="24"/>
        </w:rPr>
      </w:pPr>
    </w:p>
    <w:p>
      <w:pPr>
        <w:spacing w:line="360" w:lineRule="auto"/>
        <w:ind w:firstLine="480" w:firstLineChars="200"/>
        <w:rPr>
          <w:rFonts w:hint="eastAsia"/>
          <w:sz w:val="24"/>
          <w:szCs w:val="24"/>
        </w:rPr>
      </w:pPr>
    </w:p>
    <w:p>
      <w:pPr>
        <w:spacing w:line="360" w:lineRule="auto"/>
        <w:ind w:firstLine="480" w:firstLineChars="200"/>
        <w:rPr>
          <w:sz w:val="24"/>
          <w:szCs w:val="24"/>
        </w:rPr>
      </w:pPr>
      <w:r>
        <w:rPr>
          <w:rFonts w:hint="eastAsia"/>
          <w:sz w:val="24"/>
          <w:szCs w:val="24"/>
        </w:rPr>
        <w:t>运行环境：</w:t>
      </w:r>
    </w:p>
    <w:p>
      <w:pPr>
        <w:spacing w:line="360" w:lineRule="auto"/>
        <w:ind w:firstLine="480" w:firstLineChars="200"/>
        <w:rPr>
          <w:sz w:val="24"/>
          <w:szCs w:val="24"/>
        </w:rPr>
      </w:pPr>
      <w:r>
        <w:rPr>
          <w:rFonts w:hint="eastAsia"/>
          <w:sz w:val="24"/>
          <w:szCs w:val="24"/>
        </w:rPr>
        <w:t xml:space="preserve">Windows </w:t>
      </w:r>
      <w:r>
        <w:rPr>
          <w:sz w:val="24"/>
          <w:szCs w:val="24"/>
        </w:rPr>
        <w:t xml:space="preserve">7 </w:t>
      </w:r>
      <w:r>
        <w:rPr>
          <w:rFonts w:hint="eastAsia"/>
          <w:sz w:val="24"/>
          <w:szCs w:val="24"/>
        </w:rPr>
        <w:t>（Windows XP SP3以上</w:t>
      </w:r>
      <w:r>
        <w:rPr>
          <w:sz w:val="24"/>
          <w:szCs w:val="24"/>
        </w:rPr>
        <w:t>都可以）</w:t>
      </w:r>
    </w:p>
    <w:p>
      <w:pPr>
        <w:tabs>
          <w:tab w:val="left" w:pos="1290"/>
          <w:tab w:val="left" w:pos="2715"/>
        </w:tabs>
        <w:spacing w:line="360" w:lineRule="auto"/>
        <w:ind w:firstLine="480" w:firstLineChars="200"/>
        <w:rPr>
          <w:rFonts w:hint="eastAsia"/>
          <w:sz w:val="24"/>
          <w:szCs w:val="24"/>
        </w:rPr>
      </w:pPr>
      <w:r>
        <w:rPr>
          <w:rFonts w:hint="eastAsia"/>
          <w:sz w:val="24"/>
          <w:szCs w:val="24"/>
          <w:lang w:val="en-US" w:eastAsia="zh-CN"/>
        </w:rPr>
        <w:t>.</w:t>
      </w:r>
      <w:r>
        <w:rPr>
          <w:rFonts w:hint="eastAsia"/>
          <w:sz w:val="24"/>
          <w:szCs w:val="24"/>
        </w:rPr>
        <w:t>NET Framwork 4.0 及其以上版本</w:t>
      </w:r>
    </w:p>
    <w:p>
      <w:pPr>
        <w:tabs>
          <w:tab w:val="left" w:pos="1290"/>
          <w:tab w:val="left" w:pos="2715"/>
        </w:tabs>
        <w:spacing w:line="360" w:lineRule="auto"/>
        <w:ind w:firstLine="480" w:firstLineChars="200"/>
        <w:rPr>
          <w:rFonts w:hint="eastAsia"/>
          <w:sz w:val="24"/>
          <w:szCs w:val="24"/>
        </w:rPr>
      </w:pPr>
    </w:p>
    <w:p>
      <w:pPr>
        <w:tabs>
          <w:tab w:val="left" w:pos="1290"/>
          <w:tab w:val="left" w:pos="2715"/>
        </w:tabs>
        <w:spacing w:line="360" w:lineRule="auto"/>
        <w:ind w:firstLine="480" w:firstLineChars="200"/>
        <w:rPr>
          <w:rFonts w:hint="eastAsia"/>
          <w:sz w:val="24"/>
          <w:szCs w:val="24"/>
        </w:rPr>
      </w:pPr>
    </w:p>
    <w:p>
      <w:pPr>
        <w:pStyle w:val="3"/>
        <w:numPr>
          <w:ilvl w:val="0"/>
          <w:numId w:val="0"/>
        </w:numPr>
        <w:ind w:leftChars="0"/>
        <w:rPr>
          <w:rFonts w:hint="eastAsia"/>
          <w:lang w:val="en-US" w:eastAsia="zh-CN"/>
        </w:rPr>
      </w:pPr>
      <w:r>
        <w:rPr>
          <w:rFonts w:hint="eastAsia"/>
          <w:lang w:val="en-US" w:eastAsia="zh-CN"/>
        </w:rPr>
        <w:t>1.3系统默认套利规则</w:t>
      </w:r>
    </w:p>
    <w:p>
      <w:pPr>
        <w:spacing w:line="360" w:lineRule="auto"/>
        <w:ind w:firstLine="480" w:firstLineChars="200"/>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sz w:val="24"/>
          <w:szCs w:val="24"/>
          <w:lang w:val="en-US" w:eastAsia="zh-CN"/>
        </w:rPr>
        <w:t>选择两个合约AB。价差有两个方向，做多价差(价差扩散)或者做空价差(价差缩小),当交易员确定一个价差未来可能发展的方向之后，便可开仓，为了防止开仓的部位太大造成对市场的冲击，所以决定将大的订单进行拆单分笔成交，确定好单边手数和每次下单手数之后，开始多空成对委托，但是事先需要指定哪一个合约(例如：A)优先买入卖出委托成功并成交之后，</w:t>
      </w:r>
      <w:bookmarkStart w:id="13" w:name="OLE_LINK2"/>
      <w:r>
        <w:rPr>
          <w:rFonts w:hint="eastAsia"/>
          <w:sz w:val="24"/>
          <w:szCs w:val="24"/>
          <w:lang w:val="en-US" w:eastAsia="zh-CN"/>
        </w:rPr>
        <w:t>再以成交的价格加减指定的价差参数开仓委托另外一个(例如：B)合约</w:t>
      </w:r>
      <w:bookmarkEnd w:id="13"/>
      <w:r>
        <w:rPr>
          <w:rFonts w:hint="eastAsia"/>
          <w:sz w:val="24"/>
          <w:szCs w:val="24"/>
          <w:lang w:val="en-US" w:eastAsia="zh-CN"/>
        </w:rPr>
        <w:t>，目的在于保证在开仓的过程中保持价差优势，B合约委托成功之后，再以委托的价格加减指定的价差参数开仓委托A合约，A合约成交之后才能再委托B合约，B合约委托成功之后，委托A合约成交......依次类推，但是在B合约委托一直不成交的情况下，A合约可能已经成交了很多次造成了大的部位敞口，所以需要指定一个最大的仓差单位，即A合约成交的单位次数 - B合约成交的单位次数 &lt;= 指定的单位，在小于指定的单位的情况下可以正常委托成交，在大于指定单位的情况下，A合约不再挂单委托，等待B的委托成交，再次继续流程；</w:t>
      </w:r>
    </w:p>
    <w:p>
      <w:pPr>
        <w:pStyle w:val="2"/>
      </w:pPr>
      <w:bookmarkStart w:id="14" w:name="_Toc369188905"/>
      <w:r>
        <w:rPr>
          <w:rFonts w:hint="eastAsia"/>
        </w:rPr>
        <w:t xml:space="preserve">2 </w:t>
      </w:r>
      <w:r>
        <w:rPr>
          <w:rFonts w:hint="eastAsia"/>
          <w:lang w:val="en-US" w:eastAsia="zh-CN"/>
        </w:rPr>
        <w:t>Use有色在线套利平台</w:t>
      </w:r>
      <w:r>
        <w:rPr>
          <w:rFonts w:hint="eastAsia"/>
        </w:rPr>
        <w:t>的基本使用</w:t>
      </w:r>
      <w:bookmarkEnd w:id="14"/>
    </w:p>
    <w:p>
      <w:pPr>
        <w:pStyle w:val="3"/>
      </w:pPr>
      <w:bookmarkStart w:id="15" w:name="_Toc369188906"/>
      <w:r>
        <w:rPr>
          <w:rFonts w:hint="eastAsia"/>
        </w:rPr>
        <w:t>2.1系统登录</w:t>
      </w:r>
      <w:bookmarkEnd w:id="15"/>
    </w:p>
    <w:p>
      <w:pPr>
        <w:jc w:val="center"/>
      </w:pPr>
      <w:r>
        <w:drawing>
          <wp:inline distT="0" distB="0" distL="114300" distR="114300">
            <wp:extent cx="5026660" cy="3388995"/>
            <wp:effectExtent l="0" t="0" r="2540" b="19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5026660" cy="3388995"/>
                    </a:xfrm>
                    <a:prstGeom prst="rect">
                      <a:avLst/>
                    </a:prstGeom>
                    <a:noFill/>
                    <a:ln w="9525">
                      <a:noFill/>
                    </a:ln>
                  </pic:spPr>
                </pic:pic>
              </a:graphicData>
            </a:graphic>
          </wp:inline>
        </w:drawing>
      </w:r>
    </w:p>
    <w:p/>
    <w:p>
      <w:pPr>
        <w:spacing w:line="360" w:lineRule="auto"/>
        <w:ind w:firstLine="480" w:firstLineChars="200"/>
        <w:jc w:val="left"/>
        <w:rPr>
          <w:sz w:val="24"/>
          <w:szCs w:val="24"/>
        </w:rPr>
      </w:pPr>
      <w:r>
        <w:rPr>
          <w:rFonts w:hint="eastAsia"/>
          <w:sz w:val="24"/>
          <w:szCs w:val="24"/>
        </w:rPr>
        <w:t>运行USeFuturesSpirit.exe可执行程序，系统会弹出登录界面，如上图所示。点击设置服务器按钮，会弹出服务器网络连接信息设置界面：</w:t>
      </w:r>
    </w:p>
    <w:p>
      <w:pPr>
        <w:jc w:val="left"/>
      </w:pPr>
    </w:p>
    <w:p>
      <w:pPr>
        <w:ind w:firstLine="420" w:firstLineChars="200"/>
        <w:jc w:val="center"/>
      </w:pPr>
    </w:p>
    <w:p>
      <w:pPr>
        <w:tabs>
          <w:tab w:val="left" w:pos="1290"/>
          <w:tab w:val="left" w:pos="2715"/>
        </w:tabs>
        <w:spacing w:line="360" w:lineRule="auto"/>
        <w:ind w:firstLine="480" w:firstLineChars="200"/>
        <w:rPr>
          <w:rFonts w:hint="eastAsia"/>
          <w:sz w:val="24"/>
          <w:szCs w:val="24"/>
        </w:rPr>
        <w:sectPr>
          <w:pgSz w:w="11906" w:h="16838"/>
          <w:pgMar w:top="1440" w:right="1800" w:bottom="1440" w:left="1800" w:header="851" w:footer="992" w:gutter="0"/>
          <w:cols w:space="425" w:num="1"/>
          <w:docGrid w:type="lines" w:linePitch="312" w:charSpace="0"/>
        </w:sectPr>
      </w:pPr>
    </w:p>
    <w:p>
      <w:pPr>
        <w:tabs>
          <w:tab w:val="left" w:pos="1290"/>
          <w:tab w:val="left" w:pos="2715"/>
        </w:tabs>
        <w:spacing w:line="360" w:lineRule="auto"/>
        <w:ind w:firstLine="480" w:firstLineChars="200"/>
        <w:rPr>
          <w:rFonts w:hint="eastAsia"/>
          <w:sz w:val="24"/>
          <w:szCs w:val="24"/>
        </w:rPr>
      </w:pPr>
    </w:p>
    <w:p/>
    <w:p>
      <w:r>
        <w:drawing>
          <wp:inline distT="0" distB="0" distL="114300" distR="114300">
            <wp:extent cx="5495290" cy="2463800"/>
            <wp:effectExtent l="0" t="0" r="381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5495290" cy="2463800"/>
                    </a:xfrm>
                    <a:prstGeom prst="rect">
                      <a:avLst/>
                    </a:prstGeom>
                    <a:noFill/>
                    <a:ln w="9525">
                      <a:noFill/>
                    </a:ln>
                  </pic:spPr>
                </pic:pic>
              </a:graphicData>
            </a:graphic>
          </wp:inline>
        </w:drawing>
      </w:r>
    </w:p>
    <w:p>
      <w:pPr>
        <w:spacing w:line="360" w:lineRule="auto"/>
        <w:ind w:firstLine="480" w:firstLineChars="200"/>
        <w:jc w:val="left"/>
        <w:rPr>
          <w:sz w:val="24"/>
          <w:szCs w:val="24"/>
        </w:rPr>
      </w:pPr>
      <w:r>
        <w:rPr>
          <w:rFonts w:hint="eastAsia"/>
          <w:sz w:val="24"/>
          <w:szCs w:val="24"/>
          <w:lang w:val="en-US" w:eastAsia="zh-CN"/>
        </w:rPr>
        <w:t>可在服务器配置中，配置多个经纪商相关信息。</w:t>
      </w:r>
      <w:r>
        <w:rPr>
          <w:rFonts w:hint="eastAsia"/>
          <w:sz w:val="24"/>
          <w:szCs w:val="24"/>
        </w:rPr>
        <w:t>服务器信息设置完毕后，点击确定回到登录界面，</w:t>
      </w:r>
      <w:r>
        <w:rPr>
          <w:rFonts w:hint="eastAsia"/>
          <w:sz w:val="24"/>
          <w:szCs w:val="24"/>
          <w:lang w:val="en-US" w:eastAsia="zh-CN"/>
        </w:rPr>
        <w:t>可在服务器下拉列表中选择配置的某个经纪商，并</w:t>
      </w:r>
      <w:r>
        <w:rPr>
          <w:rFonts w:hint="eastAsia"/>
          <w:sz w:val="24"/>
          <w:szCs w:val="24"/>
        </w:rPr>
        <w:t>输入</w:t>
      </w:r>
      <w:r>
        <w:rPr>
          <w:rFonts w:hint="eastAsia"/>
          <w:sz w:val="24"/>
          <w:szCs w:val="24"/>
          <w:lang w:val="en-US" w:eastAsia="zh-CN"/>
        </w:rPr>
        <w:t>在该经纪商名下开户的</w:t>
      </w:r>
      <w:r>
        <w:rPr>
          <w:rFonts w:hint="eastAsia"/>
          <w:sz w:val="24"/>
          <w:szCs w:val="24"/>
        </w:rPr>
        <w:t>正确帐号和密码，即可正常登录系统。</w:t>
      </w:r>
    </w:p>
    <w:p>
      <w:pPr>
        <w:rPr>
          <w:rFonts w:hint="eastAsia"/>
          <w:lang w:val="en-US" w:eastAsia="zh-CN"/>
        </w:rPr>
      </w:pPr>
    </w:p>
    <w:p>
      <w:pPr>
        <w:rPr>
          <w:rFonts w:hint="eastAsia"/>
          <w:lang w:val="en-US" w:eastAsia="zh-CN"/>
        </w:rPr>
      </w:pPr>
    </w:p>
    <w:p>
      <w:pPr>
        <w:pStyle w:val="3"/>
      </w:pPr>
      <w:bookmarkStart w:id="16" w:name="_Toc369188907"/>
      <w:bookmarkStart w:id="17" w:name="OLE_LINK3"/>
      <w:r>
        <w:rPr>
          <w:rFonts w:hint="eastAsia"/>
        </w:rPr>
        <w:t>2.2 系统主界面</w:t>
      </w:r>
      <w:bookmarkEnd w:id="16"/>
      <w:r>
        <w:rPr>
          <w:rFonts w:hint="eastAsia"/>
          <w:lang w:val="en-US" w:eastAsia="zh-CN"/>
        </w:rPr>
        <w:t>模块</w:t>
      </w:r>
    </w:p>
    <w:bookmarkEnd w:id="17"/>
    <w:p>
      <w:pPr>
        <w:jc w:val="center"/>
      </w:pPr>
    </w:p>
    <w:p>
      <w:pPr>
        <w:jc w:val="left"/>
        <w:rPr>
          <w:rFonts w:hint="eastAsia"/>
          <w:sz w:val="24"/>
          <w:szCs w:val="24"/>
          <w:lang w:eastAsia="zh-CN"/>
        </w:rPr>
      </w:pPr>
      <w:r>
        <w:drawing>
          <wp:inline distT="0" distB="0" distL="114300" distR="114300">
            <wp:extent cx="5624830" cy="3011805"/>
            <wp:effectExtent l="0" t="0" r="1270" b="1079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8"/>
                    <a:stretch>
                      <a:fillRect/>
                    </a:stretch>
                  </pic:blipFill>
                  <pic:spPr>
                    <a:xfrm>
                      <a:off x="0" y="0"/>
                      <a:ext cx="5624830" cy="3011805"/>
                    </a:xfrm>
                    <a:prstGeom prst="rect">
                      <a:avLst/>
                    </a:prstGeom>
                    <a:noFill/>
                    <a:ln w="9525">
                      <a:noFill/>
                    </a:ln>
                  </pic:spPr>
                </pic:pic>
              </a:graphicData>
            </a:graphic>
          </wp:inline>
        </w:drawing>
      </w:r>
      <w:r>
        <w:rPr>
          <w:rFonts w:hint="eastAsia"/>
          <w:sz w:val="24"/>
          <w:szCs w:val="24"/>
        </w:rPr>
        <w:t>登录系统后，即可进入系统主界面（如上图）</w:t>
      </w:r>
      <w:r>
        <w:rPr>
          <w:rFonts w:hint="eastAsia"/>
          <w:sz w:val="24"/>
          <w:szCs w:val="24"/>
          <w:lang w:eastAsia="zh-CN"/>
        </w:rPr>
        <w:t>。</w:t>
      </w:r>
    </w:p>
    <w:p>
      <w:pPr>
        <w:spacing w:line="360" w:lineRule="auto"/>
        <w:ind w:firstLine="480" w:firstLineChars="200"/>
        <w:jc w:val="left"/>
        <w:rPr>
          <w:rFonts w:hint="eastAsia"/>
          <w:sz w:val="24"/>
          <w:szCs w:val="24"/>
          <w:lang w:val="en-US" w:eastAsia="zh-CN"/>
        </w:rPr>
      </w:pPr>
      <w:r>
        <w:rPr>
          <w:rFonts w:hint="eastAsia"/>
          <w:sz w:val="24"/>
          <w:szCs w:val="24"/>
          <w:lang w:val="en-US" w:eastAsia="zh-CN"/>
        </w:rPr>
        <w:t>菜单基础显示和设置：</w:t>
      </w:r>
    </w:p>
    <w:p>
      <w:pPr>
        <w:spacing w:line="360" w:lineRule="auto"/>
        <w:ind w:firstLine="480" w:firstLineChars="200"/>
        <w:jc w:val="left"/>
        <w:rPr>
          <w:rFonts w:hint="eastAsia"/>
          <w:sz w:val="24"/>
          <w:szCs w:val="24"/>
          <w:lang w:val="en-US" w:eastAsia="zh-CN"/>
        </w:rPr>
      </w:pPr>
      <w:r>
        <w:rPr>
          <w:rFonts w:hint="eastAsia"/>
          <w:sz w:val="24"/>
          <w:szCs w:val="24"/>
          <w:lang w:val="en-US" w:eastAsia="zh-CN"/>
        </w:rPr>
        <w:t>1.历史订单显示。查询显示交易日期范围内的套利单和汇总信息。</w:t>
      </w:r>
    </w:p>
    <w:p>
      <w:pPr>
        <w:widowControl w:val="0"/>
        <w:numPr>
          <w:ilvl w:val="0"/>
          <w:numId w:val="0"/>
        </w:numPr>
        <w:jc w:val="center"/>
      </w:pPr>
      <w:r>
        <w:drawing>
          <wp:inline distT="0" distB="0" distL="114300" distR="114300">
            <wp:extent cx="4990465" cy="3074670"/>
            <wp:effectExtent l="0" t="0" r="635" b="11430"/>
            <wp:docPr id="4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0"/>
                    <pic:cNvPicPr>
                      <a:picLocks noChangeAspect="1"/>
                    </pic:cNvPicPr>
                  </pic:nvPicPr>
                  <pic:blipFill>
                    <a:blip r:embed="rId9"/>
                    <a:stretch>
                      <a:fillRect/>
                    </a:stretch>
                  </pic:blipFill>
                  <pic:spPr>
                    <a:xfrm>
                      <a:off x="0" y="0"/>
                      <a:ext cx="4990465" cy="3074670"/>
                    </a:xfrm>
                    <a:prstGeom prst="rect">
                      <a:avLst/>
                    </a:prstGeom>
                    <a:noFill/>
                    <a:ln w="9525">
                      <a:noFill/>
                    </a:ln>
                  </pic:spPr>
                </pic:pic>
              </a:graphicData>
            </a:graphic>
          </wp:inline>
        </w:drawing>
      </w:r>
    </w:p>
    <w:p>
      <w:pPr>
        <w:spacing w:line="360" w:lineRule="auto"/>
        <w:ind w:firstLine="480" w:firstLineChars="200"/>
        <w:jc w:val="left"/>
        <w:rPr>
          <w:rFonts w:hint="eastAsia"/>
          <w:sz w:val="24"/>
          <w:szCs w:val="24"/>
          <w:lang w:val="en-US" w:eastAsia="zh-CN"/>
        </w:rPr>
      </w:pPr>
      <w:r>
        <w:rPr>
          <w:rFonts w:hint="eastAsia"/>
          <w:sz w:val="24"/>
          <w:szCs w:val="24"/>
          <w:lang w:val="en-US" w:eastAsia="zh-CN"/>
        </w:rPr>
        <w:t>2.选项&gt;&gt;系统参数配置。设定市价的定义，下单设定以及保证金风控和监控预警。</w:t>
      </w:r>
    </w:p>
    <w:p>
      <w:pPr>
        <w:widowControl w:val="0"/>
        <w:numPr>
          <w:ilvl w:val="0"/>
          <w:numId w:val="0"/>
        </w:numPr>
        <w:jc w:val="center"/>
        <w:rPr>
          <w:rFonts w:hint="eastAsia"/>
          <w:lang w:val="en-US" w:eastAsia="zh-CN"/>
        </w:rPr>
      </w:pPr>
      <w:r>
        <w:drawing>
          <wp:inline distT="0" distB="0" distL="114300" distR="114300">
            <wp:extent cx="3962400" cy="2628900"/>
            <wp:effectExtent l="0" t="0" r="0" b="0"/>
            <wp:docPr id="4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1"/>
                    <pic:cNvPicPr>
                      <a:picLocks noChangeAspect="1"/>
                    </pic:cNvPicPr>
                  </pic:nvPicPr>
                  <pic:blipFill>
                    <a:blip r:embed="rId10"/>
                    <a:stretch>
                      <a:fillRect/>
                    </a:stretch>
                  </pic:blipFill>
                  <pic:spPr>
                    <a:xfrm>
                      <a:off x="0" y="0"/>
                      <a:ext cx="3962400" cy="2628900"/>
                    </a:xfrm>
                    <a:prstGeom prst="rect">
                      <a:avLst/>
                    </a:prstGeom>
                    <a:noFill/>
                    <a:ln w="9525">
                      <a:noFill/>
                    </a:ln>
                  </pic:spPr>
                </pic:pic>
              </a:graphicData>
            </a:graphic>
          </wp:inline>
        </w:drawing>
      </w:r>
    </w:p>
    <w:p>
      <w:pPr>
        <w:spacing w:line="360" w:lineRule="auto"/>
        <w:ind w:firstLine="480" w:firstLineChars="200"/>
        <w:jc w:val="left"/>
        <w:rPr>
          <w:rFonts w:hint="eastAsia"/>
          <w:sz w:val="24"/>
          <w:szCs w:val="24"/>
          <w:lang w:val="en-US" w:eastAsia="zh-CN"/>
        </w:rPr>
      </w:pPr>
    </w:p>
    <w:p>
      <w:pPr>
        <w:spacing w:line="360" w:lineRule="auto"/>
        <w:ind w:firstLine="480" w:firstLineChars="200"/>
        <w:jc w:val="left"/>
        <w:rPr>
          <w:rFonts w:hint="eastAsia"/>
          <w:sz w:val="24"/>
          <w:szCs w:val="24"/>
          <w:lang w:val="en-US" w:eastAsia="zh-CN"/>
        </w:rPr>
      </w:pPr>
    </w:p>
    <w:p>
      <w:pPr>
        <w:spacing w:line="360" w:lineRule="auto"/>
        <w:ind w:firstLine="480" w:firstLineChars="200"/>
        <w:jc w:val="left"/>
        <w:rPr>
          <w:rFonts w:hint="eastAsia"/>
          <w:sz w:val="24"/>
          <w:szCs w:val="24"/>
          <w:lang w:val="en-US" w:eastAsia="zh-CN"/>
        </w:rPr>
      </w:pPr>
      <w:r>
        <w:rPr>
          <w:rFonts w:hint="eastAsia"/>
          <w:sz w:val="24"/>
          <w:szCs w:val="24"/>
          <w:lang w:val="en-US" w:eastAsia="zh-CN"/>
        </w:rPr>
        <w:t>显示模块：</w:t>
      </w:r>
    </w:p>
    <w:p>
      <w:pPr>
        <w:spacing w:line="360" w:lineRule="auto"/>
        <w:ind w:firstLine="480" w:firstLineChars="200"/>
        <w:jc w:val="left"/>
        <w:rPr>
          <w:rFonts w:hint="eastAsia"/>
          <w:sz w:val="24"/>
          <w:szCs w:val="24"/>
          <w:lang w:val="en-US" w:eastAsia="zh-CN"/>
        </w:rPr>
      </w:pPr>
      <w:r>
        <w:rPr>
          <w:rFonts w:hint="eastAsia"/>
          <w:sz w:val="24"/>
          <w:szCs w:val="24"/>
          <w:lang w:val="en-US" w:eastAsia="zh-CN"/>
        </w:rPr>
        <w:t>1. 连接提示：左下方的绿灯表示行情和交易目前已正常连接，红灯表示连接断开。</w:t>
      </w:r>
    </w:p>
    <w:p>
      <w:pPr>
        <w:spacing w:line="360" w:lineRule="auto"/>
        <w:ind w:firstLine="420" w:firstLineChars="200"/>
        <w:jc w:val="center"/>
        <w:rPr>
          <w:rFonts w:hint="eastAsia"/>
          <w:sz w:val="24"/>
          <w:szCs w:val="24"/>
          <w:lang w:val="en-US" w:eastAsia="zh-CN"/>
        </w:rPr>
      </w:pPr>
      <w:r>
        <w:drawing>
          <wp:inline distT="0" distB="0" distL="114300" distR="114300">
            <wp:extent cx="4310380" cy="327025"/>
            <wp:effectExtent l="0" t="0" r="7620" b="317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4310380" cy="327025"/>
                    </a:xfrm>
                    <a:prstGeom prst="rect">
                      <a:avLst/>
                    </a:prstGeom>
                    <a:noFill/>
                    <a:ln w="9525">
                      <a:noFill/>
                    </a:ln>
                  </pic:spPr>
                </pic:pic>
              </a:graphicData>
            </a:graphic>
          </wp:inline>
        </w:drawing>
      </w:r>
    </w:p>
    <w:p>
      <w:pPr>
        <w:spacing w:line="360" w:lineRule="auto"/>
        <w:jc w:val="left"/>
        <w:rPr>
          <w:rFonts w:hint="eastAsia"/>
          <w:sz w:val="24"/>
          <w:szCs w:val="24"/>
          <w:lang w:val="en-US" w:eastAsia="zh-CN"/>
        </w:rPr>
      </w:pPr>
    </w:p>
    <w:p>
      <w:pPr>
        <w:spacing w:line="360" w:lineRule="auto"/>
        <w:ind w:firstLine="480" w:firstLineChars="200"/>
        <w:jc w:val="left"/>
        <w:rPr>
          <w:rFonts w:hint="eastAsia"/>
          <w:sz w:val="24"/>
          <w:szCs w:val="24"/>
          <w:lang w:val="en-US" w:eastAsia="zh-CN"/>
        </w:rPr>
      </w:pPr>
      <w:r>
        <w:rPr>
          <w:rFonts w:hint="eastAsia"/>
          <w:sz w:val="24"/>
          <w:szCs w:val="24"/>
          <w:lang w:val="en-US" w:eastAsia="zh-CN"/>
        </w:rPr>
        <w:t>2.资金详细信息提示：包含静态权益，平仓盈亏，持仓盈亏等信息，动态刷新，也可点击查询按钮查询；</w:t>
      </w:r>
    </w:p>
    <w:p>
      <w:pPr>
        <w:numPr>
          <w:ilvl w:val="0"/>
          <w:numId w:val="0"/>
        </w:numPr>
        <w:jc w:val="center"/>
      </w:pPr>
      <w:r>
        <w:rPr>
          <w:rFonts w:hint="eastAsia"/>
          <w:lang w:val="en-US" w:eastAsia="zh-CN"/>
        </w:rPr>
        <w:t xml:space="preserve">    </w:t>
      </w:r>
      <w:r>
        <w:drawing>
          <wp:inline distT="0" distB="0" distL="114300" distR="114300">
            <wp:extent cx="4337685" cy="215900"/>
            <wp:effectExtent l="0" t="0" r="5715"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4337685" cy="215900"/>
                    </a:xfrm>
                    <a:prstGeom prst="rect">
                      <a:avLst/>
                    </a:prstGeom>
                    <a:noFill/>
                    <a:ln w="9525">
                      <a:noFill/>
                    </a:ln>
                  </pic:spPr>
                </pic:pic>
              </a:graphicData>
            </a:graphic>
          </wp:inline>
        </w:drawing>
      </w:r>
    </w:p>
    <w:p>
      <w:pPr>
        <w:numPr>
          <w:ilvl w:val="0"/>
          <w:numId w:val="0"/>
        </w:numPr>
        <w:jc w:val="center"/>
      </w:pPr>
    </w:p>
    <w:p>
      <w:pPr>
        <w:numPr>
          <w:ilvl w:val="0"/>
          <w:numId w:val="3"/>
        </w:numPr>
        <w:spacing w:line="360" w:lineRule="auto"/>
        <w:ind w:firstLine="480" w:firstLineChars="200"/>
        <w:jc w:val="left"/>
        <w:rPr>
          <w:rFonts w:hint="eastAsia"/>
          <w:sz w:val="24"/>
          <w:szCs w:val="24"/>
          <w:lang w:val="en-US" w:eastAsia="zh-CN"/>
        </w:rPr>
      </w:pPr>
      <w:r>
        <w:rPr>
          <w:rFonts w:hint="eastAsia"/>
          <w:sz w:val="24"/>
          <w:szCs w:val="24"/>
          <w:lang w:val="en-US" w:eastAsia="zh-CN"/>
        </w:rPr>
        <w:t>行情列表显示:行情的品种可以通过主窗口左下角品种按钮进行选择，行情列表会重新显示为选择的最新的品种。</w:t>
      </w:r>
    </w:p>
    <w:p>
      <w:pPr>
        <w:numPr>
          <w:ilvl w:val="0"/>
          <w:numId w:val="0"/>
        </w:numPr>
        <w:jc w:val="both"/>
      </w:pPr>
      <w:r>
        <w:rPr>
          <w:rFonts w:hint="eastAsia"/>
          <w:lang w:val="en-US" w:eastAsia="zh-CN"/>
        </w:rPr>
        <w:t xml:space="preserve">         </w:t>
      </w:r>
      <w:r>
        <w:drawing>
          <wp:inline distT="0" distB="0" distL="114300" distR="114300">
            <wp:extent cx="4441190" cy="655320"/>
            <wp:effectExtent l="0" t="0" r="3810" b="508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4441190" cy="655320"/>
                    </a:xfrm>
                    <a:prstGeom prst="rect">
                      <a:avLst/>
                    </a:prstGeom>
                    <a:noFill/>
                    <a:ln w="9525">
                      <a:noFill/>
                    </a:ln>
                  </pic:spPr>
                </pic:pic>
              </a:graphicData>
            </a:graphic>
          </wp:inline>
        </w:drawing>
      </w:r>
    </w:p>
    <w:p>
      <w:pPr>
        <w:numPr>
          <w:ilvl w:val="0"/>
          <w:numId w:val="0"/>
        </w:numPr>
        <w:jc w:val="both"/>
      </w:pPr>
    </w:p>
    <w:p>
      <w:pPr>
        <w:numPr>
          <w:ilvl w:val="0"/>
          <w:numId w:val="3"/>
        </w:numPr>
        <w:spacing w:line="360" w:lineRule="auto"/>
        <w:ind w:firstLine="480" w:firstLineChars="200"/>
        <w:jc w:val="left"/>
        <w:rPr>
          <w:rFonts w:hint="eastAsia"/>
          <w:sz w:val="24"/>
          <w:szCs w:val="24"/>
          <w:lang w:val="en-US" w:eastAsia="zh-CN"/>
        </w:rPr>
      </w:pPr>
      <w:r>
        <w:rPr>
          <w:rFonts w:hint="eastAsia"/>
          <w:sz w:val="24"/>
          <w:szCs w:val="24"/>
          <w:lang w:val="en-US" w:eastAsia="zh-CN"/>
        </w:rPr>
        <w:t>品种选择显示：点击左下角品种选择按钮，根据品种所在交易所选择交易所页面，并双击按钮，行情列表自动更新为当前选择的品种的所有的合约。</w:t>
      </w:r>
    </w:p>
    <w:p>
      <w:pPr>
        <w:numPr>
          <w:ilvl w:val="0"/>
          <w:numId w:val="0"/>
        </w:numPr>
        <w:jc w:val="center"/>
      </w:pPr>
      <w:r>
        <w:rPr>
          <w:rFonts w:hint="eastAsia"/>
          <w:lang w:val="en-US" w:eastAsia="zh-CN"/>
        </w:rPr>
        <w:t xml:space="preserve">       </w:t>
      </w:r>
      <w:r>
        <w:drawing>
          <wp:inline distT="0" distB="0" distL="114300" distR="114300">
            <wp:extent cx="4519930" cy="2841625"/>
            <wp:effectExtent l="0" t="0" r="1270" b="317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4"/>
                    <a:stretch>
                      <a:fillRect/>
                    </a:stretch>
                  </pic:blipFill>
                  <pic:spPr>
                    <a:xfrm>
                      <a:off x="0" y="0"/>
                      <a:ext cx="4519930" cy="2841625"/>
                    </a:xfrm>
                    <a:prstGeom prst="rect">
                      <a:avLst/>
                    </a:prstGeom>
                    <a:noFill/>
                    <a:ln w="9525">
                      <a:noFill/>
                    </a:ln>
                  </pic:spPr>
                </pic:pic>
              </a:graphicData>
            </a:graphic>
          </wp:inline>
        </w:drawing>
      </w:r>
    </w:p>
    <w:p>
      <w:pPr>
        <w:numPr>
          <w:ilvl w:val="0"/>
          <w:numId w:val="0"/>
        </w:numPr>
        <w:jc w:val="cente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3"/>
        </w:numPr>
        <w:spacing w:line="360" w:lineRule="auto"/>
        <w:ind w:firstLine="480" w:firstLineChars="200"/>
        <w:jc w:val="left"/>
        <w:rPr>
          <w:rFonts w:hint="eastAsia"/>
          <w:sz w:val="24"/>
          <w:szCs w:val="24"/>
          <w:lang w:val="en-US" w:eastAsia="zh-CN"/>
        </w:rPr>
      </w:pPr>
      <w:r>
        <w:rPr>
          <w:rFonts w:hint="eastAsia"/>
          <w:sz w:val="24"/>
          <w:szCs w:val="24"/>
          <w:lang w:val="en-US" w:eastAsia="zh-CN"/>
        </w:rPr>
        <w:t>监控日志显示：监控当前套利单的运行状态，可在此观察套利单的运行流程；</w:t>
      </w:r>
    </w:p>
    <w:p>
      <w:pPr>
        <w:numPr>
          <w:ilvl w:val="0"/>
          <w:numId w:val="0"/>
        </w:numPr>
        <w:tabs>
          <w:tab w:val="center" w:pos="4213"/>
          <w:tab w:val="left" w:pos="5103"/>
        </w:tabs>
        <w:jc w:val="left"/>
      </w:pPr>
      <w:r>
        <w:rPr>
          <w:rFonts w:hint="eastAsia"/>
          <w:lang w:val="en-US" w:eastAsia="zh-CN"/>
        </w:rPr>
        <w:tab/>
      </w:r>
      <w:r>
        <w:rPr>
          <w:rFonts w:hint="eastAsia"/>
          <w:lang w:val="en-US" w:eastAsia="zh-CN"/>
        </w:rPr>
        <w:t xml:space="preserve">      </w:t>
      </w:r>
      <w:r>
        <w:drawing>
          <wp:inline distT="0" distB="0" distL="114300" distR="114300">
            <wp:extent cx="4074160" cy="2537460"/>
            <wp:effectExtent l="0" t="0" r="2540" b="254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5"/>
                    <a:stretch>
                      <a:fillRect/>
                    </a:stretch>
                  </pic:blipFill>
                  <pic:spPr>
                    <a:xfrm>
                      <a:off x="0" y="0"/>
                      <a:ext cx="4074160" cy="2537460"/>
                    </a:xfrm>
                    <a:prstGeom prst="rect">
                      <a:avLst/>
                    </a:prstGeom>
                    <a:noFill/>
                    <a:ln w="9525">
                      <a:noFill/>
                    </a:ln>
                  </pic:spPr>
                </pic:pic>
              </a:graphicData>
            </a:graphic>
          </wp:inline>
        </w:drawing>
      </w:r>
      <w:r>
        <w:rPr>
          <w:rFonts w:hint="eastAsia"/>
          <w:lang w:eastAsia="zh-CN"/>
        </w:rPr>
        <w:tab/>
      </w:r>
    </w:p>
    <w:p>
      <w:pPr>
        <w:numPr>
          <w:ilvl w:val="0"/>
          <w:numId w:val="3"/>
        </w:numPr>
        <w:spacing w:line="360" w:lineRule="auto"/>
        <w:ind w:firstLine="480" w:firstLineChars="200"/>
        <w:jc w:val="left"/>
        <w:rPr>
          <w:rFonts w:hint="eastAsia"/>
          <w:sz w:val="24"/>
          <w:szCs w:val="24"/>
          <w:lang w:val="en-US" w:eastAsia="zh-CN"/>
        </w:rPr>
      </w:pPr>
      <w:r>
        <w:rPr>
          <w:rFonts w:hint="eastAsia"/>
          <w:sz w:val="24"/>
          <w:szCs w:val="24"/>
          <w:lang w:val="en-US" w:eastAsia="zh-CN"/>
        </w:rPr>
        <w:t>预警日志显示：操作错误或者软件重大错误警告显示。</w:t>
      </w:r>
    </w:p>
    <w:p>
      <w:pPr>
        <w:numPr>
          <w:ilvl w:val="0"/>
          <w:numId w:val="0"/>
        </w:numPr>
        <w:jc w:val="both"/>
      </w:pPr>
      <w:r>
        <w:rPr>
          <w:rFonts w:hint="eastAsia"/>
          <w:lang w:val="en-US" w:eastAsia="zh-CN"/>
        </w:rPr>
        <w:t xml:space="preserve">            </w:t>
      </w:r>
      <w:r>
        <w:drawing>
          <wp:inline distT="0" distB="0" distL="114300" distR="114300">
            <wp:extent cx="4095115" cy="2933065"/>
            <wp:effectExtent l="0" t="0" r="6985" b="63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6"/>
                    <a:stretch>
                      <a:fillRect/>
                    </a:stretch>
                  </pic:blipFill>
                  <pic:spPr>
                    <a:xfrm>
                      <a:off x="0" y="0"/>
                      <a:ext cx="4095115" cy="2933065"/>
                    </a:xfrm>
                    <a:prstGeom prst="rect">
                      <a:avLst/>
                    </a:prstGeom>
                    <a:noFill/>
                    <a:ln w="9525">
                      <a:noFill/>
                    </a:ln>
                  </pic:spPr>
                </pic:pic>
              </a:graphicData>
            </a:graphic>
          </wp:inline>
        </w:drawing>
      </w:r>
    </w:p>
    <w:p>
      <w:pPr>
        <w:numPr>
          <w:ilvl w:val="0"/>
          <w:numId w:val="0"/>
        </w:numPr>
        <w:jc w:val="both"/>
      </w:pPr>
    </w:p>
    <w:p>
      <w:pPr>
        <w:numPr>
          <w:ilvl w:val="0"/>
          <w:numId w:val="3"/>
        </w:numPr>
        <w:spacing w:line="360" w:lineRule="auto"/>
        <w:ind w:firstLine="480" w:firstLineChars="200"/>
        <w:jc w:val="left"/>
        <w:rPr>
          <w:rFonts w:hint="eastAsia"/>
          <w:sz w:val="24"/>
          <w:szCs w:val="24"/>
          <w:lang w:val="en-US" w:eastAsia="zh-CN"/>
        </w:rPr>
      </w:pPr>
      <w:r>
        <w:rPr>
          <w:rFonts w:hint="eastAsia"/>
          <w:sz w:val="24"/>
          <w:szCs w:val="24"/>
          <w:lang w:val="en-US" w:eastAsia="zh-CN"/>
        </w:rPr>
        <w:t>持仓，委托，成交显示：显示目前的委托单，成交和持仓信息，委托单提供撤单，分类显示等功能。</w:t>
      </w:r>
    </w:p>
    <w:p>
      <w:pPr>
        <w:numPr>
          <w:ilvl w:val="0"/>
          <w:numId w:val="0"/>
        </w:numPr>
        <w:jc w:val="both"/>
      </w:pPr>
      <w:r>
        <w:drawing>
          <wp:inline distT="0" distB="0" distL="114300" distR="114300">
            <wp:extent cx="5266690" cy="2733675"/>
            <wp:effectExtent l="0" t="0" r="3810" b="952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7"/>
                    <a:stretch>
                      <a:fillRect/>
                    </a:stretch>
                  </pic:blipFill>
                  <pic:spPr>
                    <a:xfrm>
                      <a:off x="0" y="0"/>
                      <a:ext cx="5266690" cy="2733675"/>
                    </a:xfrm>
                    <a:prstGeom prst="rect">
                      <a:avLst/>
                    </a:prstGeom>
                    <a:noFill/>
                    <a:ln w="9525">
                      <a:noFill/>
                    </a:ln>
                  </pic:spPr>
                </pic:pic>
              </a:graphicData>
            </a:graphic>
          </wp:inline>
        </w:drawing>
      </w:r>
    </w:p>
    <w:p>
      <w:pPr>
        <w:numPr>
          <w:ilvl w:val="0"/>
          <w:numId w:val="0"/>
        </w:numPr>
        <w:jc w:val="both"/>
      </w:pPr>
    </w:p>
    <w:p>
      <w:pPr>
        <w:numPr>
          <w:ilvl w:val="0"/>
          <w:numId w:val="0"/>
        </w:numPr>
        <w:spacing w:line="360" w:lineRule="auto"/>
        <w:jc w:val="left"/>
        <w:rPr>
          <w:rFonts w:hint="eastAsia"/>
          <w:sz w:val="24"/>
          <w:szCs w:val="24"/>
          <w:lang w:val="en-US" w:eastAsia="zh-CN"/>
        </w:rPr>
      </w:pPr>
      <w:r>
        <w:rPr>
          <w:rFonts w:hint="eastAsia"/>
          <w:sz w:val="24"/>
          <w:szCs w:val="24"/>
          <w:lang w:val="en-US" w:eastAsia="zh-CN"/>
        </w:rPr>
        <w:t>8.主套利交易操作模块(实例)：</w:t>
      </w:r>
    </w:p>
    <w:p>
      <w:pPr>
        <w:numPr>
          <w:ilvl w:val="0"/>
          <w:numId w:val="0"/>
        </w:numPr>
        <w:spacing w:line="360" w:lineRule="auto"/>
        <w:jc w:val="left"/>
        <w:rPr>
          <w:rFonts w:hint="eastAsia"/>
          <w:sz w:val="24"/>
          <w:szCs w:val="24"/>
          <w:lang w:val="en-US" w:eastAsia="zh-CN"/>
        </w:rPr>
      </w:pPr>
      <w:r>
        <w:rPr>
          <w:rFonts w:hint="eastAsia"/>
          <w:sz w:val="24"/>
          <w:szCs w:val="24"/>
          <w:lang w:val="en-US" w:eastAsia="zh-CN"/>
        </w:rPr>
        <w:t>套利交易参数设定。参见1.3套利交易规则原理,设定交易参数。</w:t>
      </w:r>
    </w:p>
    <w:p>
      <w:pPr>
        <w:numPr>
          <w:ilvl w:val="0"/>
          <w:numId w:val="0"/>
        </w:numPr>
        <w:tabs>
          <w:tab w:val="center" w:pos="4153"/>
        </w:tabs>
        <w:jc w:val="both"/>
      </w:pPr>
      <w:bookmarkStart w:id="18" w:name="OLE_LINK6"/>
      <w:r>
        <w:drawing>
          <wp:inline distT="0" distB="0" distL="114300" distR="114300">
            <wp:extent cx="5228590" cy="1864995"/>
            <wp:effectExtent l="0" t="0" r="3810" b="19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8"/>
                    <a:stretch>
                      <a:fillRect/>
                    </a:stretch>
                  </pic:blipFill>
                  <pic:spPr>
                    <a:xfrm>
                      <a:off x="0" y="0"/>
                      <a:ext cx="5228590" cy="1864995"/>
                    </a:xfrm>
                    <a:prstGeom prst="rect">
                      <a:avLst/>
                    </a:prstGeom>
                    <a:noFill/>
                    <a:ln w="9525">
                      <a:noFill/>
                    </a:ln>
                  </pic:spPr>
                </pic:pic>
              </a:graphicData>
            </a:graphic>
          </wp:inline>
        </w:drawing>
      </w:r>
      <w:r>
        <w:rPr>
          <w:rFonts w:hint="eastAsia"/>
          <w:lang w:eastAsia="zh-CN"/>
        </w:rPr>
        <w:tab/>
      </w:r>
    </w:p>
    <w:bookmarkEnd w:id="18"/>
    <w:p>
      <w:pPr>
        <w:numPr>
          <w:ilvl w:val="0"/>
          <w:numId w:val="0"/>
        </w:numPr>
        <w:jc w:val="both"/>
      </w:pPr>
    </w:p>
    <w:p>
      <w:pPr>
        <w:numPr>
          <w:ilvl w:val="0"/>
          <w:numId w:val="0"/>
        </w:numPr>
        <w:jc w:val="both"/>
      </w:pPr>
    </w:p>
    <w:p>
      <w:pPr>
        <w:numPr>
          <w:ilvl w:val="0"/>
          <w:numId w:val="0"/>
        </w:numPr>
        <w:jc w:val="both"/>
        <w:rPr>
          <w:rFonts w:hint="eastAsia"/>
          <w:lang w:val="en-US" w:eastAsia="zh-CN"/>
        </w:rPr>
      </w:pPr>
    </w:p>
    <w:p>
      <w:pPr>
        <w:numPr>
          <w:ilvl w:val="0"/>
          <w:numId w:val="0"/>
        </w:numPr>
        <w:spacing w:line="360" w:lineRule="auto"/>
        <w:jc w:val="left"/>
        <w:rPr>
          <w:rFonts w:hint="eastAsia"/>
          <w:sz w:val="24"/>
          <w:szCs w:val="24"/>
          <w:lang w:val="en-US" w:eastAsia="zh-CN"/>
        </w:rPr>
      </w:pPr>
      <w:r>
        <w:rPr>
          <w:rFonts w:hint="eastAsia"/>
          <w:sz w:val="24"/>
          <w:szCs w:val="24"/>
          <w:lang w:val="en-US" w:eastAsia="zh-CN"/>
        </w:rPr>
        <w:t>套利交易可视化模块：</w:t>
      </w:r>
    </w:p>
    <w:p>
      <w:pPr>
        <w:numPr>
          <w:ilvl w:val="0"/>
          <w:numId w:val="0"/>
        </w:numPr>
        <w:spacing w:line="360" w:lineRule="auto"/>
        <w:ind w:firstLine="420" w:firstLineChars="0"/>
        <w:jc w:val="left"/>
        <w:rPr>
          <w:rFonts w:hint="eastAsia"/>
          <w:sz w:val="24"/>
          <w:szCs w:val="24"/>
          <w:lang w:val="en-US" w:eastAsia="zh-CN"/>
        </w:rPr>
      </w:pPr>
      <w:r>
        <w:rPr>
          <w:rFonts w:hint="eastAsia"/>
          <w:sz w:val="24"/>
          <w:szCs w:val="24"/>
          <w:lang w:val="en-US" w:eastAsia="zh-CN"/>
        </w:rPr>
        <w:t>按照我们上述设定的参数开启跟单流程。横幅展示了套利组编号，两个合约的成交情况，持仓均价，盈亏状况，以及目前套利单的状态等；绿色按钮表示已经启动设定的规则开始交易(初始为红色按钮)。黑色框内B排为买方合约的成交情况，S排为卖方的合约成交情况，红色0/2表示预期委托2手，实际成交0手；黄色1/2(或者0/2)表示部分成交，预期委托2手，仅成交1手，绿色2/2表示预期委托全部成交；</w:t>
      </w:r>
    </w:p>
    <w:p>
      <w:pPr>
        <w:numPr>
          <w:ilvl w:val="0"/>
          <w:numId w:val="0"/>
        </w:numPr>
        <w:ind w:firstLine="420" w:firstLineChars="0"/>
        <w:jc w:val="both"/>
      </w:pPr>
      <w:r>
        <w:drawing>
          <wp:inline distT="0" distB="0" distL="114300" distR="114300">
            <wp:extent cx="5267325" cy="2341245"/>
            <wp:effectExtent l="0" t="0" r="3175" b="825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9"/>
                    <a:stretch>
                      <a:fillRect/>
                    </a:stretch>
                  </pic:blipFill>
                  <pic:spPr>
                    <a:xfrm>
                      <a:off x="0" y="0"/>
                      <a:ext cx="5267325" cy="2341245"/>
                    </a:xfrm>
                    <a:prstGeom prst="rect">
                      <a:avLst/>
                    </a:prstGeom>
                    <a:noFill/>
                    <a:ln w="9525">
                      <a:noFill/>
                    </a:ln>
                  </pic:spPr>
                </pic:pic>
              </a:graphicData>
            </a:graphic>
          </wp:inline>
        </w:drawing>
      </w:r>
    </w:p>
    <w:p>
      <w:pPr>
        <w:numPr>
          <w:ilvl w:val="0"/>
          <w:numId w:val="0"/>
        </w:numPr>
        <w:ind w:firstLine="420" w:firstLineChars="0"/>
        <w:jc w:val="both"/>
      </w:pPr>
    </w:p>
    <w:p>
      <w:pPr>
        <w:pStyle w:val="3"/>
        <w:rPr>
          <w:rFonts w:hint="eastAsia"/>
        </w:rPr>
      </w:pPr>
      <w:r>
        <w:rPr>
          <w:rFonts w:hint="eastAsia"/>
        </w:rPr>
        <w:t>2.</w:t>
      </w:r>
      <w:r>
        <w:rPr>
          <w:rFonts w:hint="eastAsia"/>
          <w:lang w:val="en-US" w:eastAsia="zh-CN"/>
        </w:rPr>
        <w:t>3</w:t>
      </w:r>
      <w:r>
        <w:rPr>
          <w:rFonts w:hint="eastAsia"/>
        </w:rPr>
        <w:t xml:space="preserve"> </w:t>
      </w:r>
      <w:r>
        <w:rPr>
          <w:rFonts w:hint="eastAsia"/>
          <w:lang w:val="en-US" w:eastAsia="zh-CN"/>
        </w:rPr>
        <w:t>套利交易流程</w:t>
      </w:r>
    </w:p>
    <w:p>
      <w:pPr>
        <w:numPr>
          <w:ilvl w:val="0"/>
          <w:numId w:val="0"/>
        </w:numPr>
        <w:spacing w:line="360" w:lineRule="auto"/>
        <w:ind w:firstLine="420" w:firstLineChars="0"/>
        <w:jc w:val="left"/>
        <w:rPr>
          <w:rFonts w:hint="eastAsia"/>
          <w:sz w:val="30"/>
          <w:szCs w:val="30"/>
          <w:lang w:val="en-US" w:eastAsia="zh-CN"/>
        </w:rPr>
      </w:pPr>
      <w:r>
        <w:rPr>
          <w:rFonts w:hint="eastAsia"/>
          <w:sz w:val="30"/>
          <w:szCs w:val="30"/>
          <w:lang w:val="en-US" w:eastAsia="zh-CN"/>
        </w:rPr>
        <w:t>2.3.1 开仓流程</w:t>
      </w:r>
    </w:p>
    <w:p>
      <w:pPr>
        <w:numPr>
          <w:ilvl w:val="0"/>
          <w:numId w:val="0"/>
        </w:numPr>
        <w:spacing w:line="360" w:lineRule="auto"/>
        <w:ind w:firstLine="420" w:firstLineChars="0"/>
        <w:jc w:val="left"/>
        <w:rPr>
          <w:rFonts w:hint="eastAsia"/>
          <w:sz w:val="24"/>
          <w:szCs w:val="24"/>
          <w:lang w:val="en-US" w:eastAsia="zh-CN"/>
        </w:rPr>
      </w:pPr>
      <w:r>
        <w:rPr>
          <w:rFonts w:hint="eastAsia"/>
          <w:sz w:val="24"/>
          <w:szCs w:val="24"/>
          <w:lang w:val="en-US" w:eastAsia="zh-CN"/>
        </w:rPr>
        <w:t>1.设置参数：下图的参数设定的含义是：cu1706的对手价45390 - cu1707的最新价45420 = -30为目前的价差；目前我们想做的方向为价差收敛，所以我们设定参数小于等于-50的时候就开始建仓(因为越小于-30价差越扩大越有利于收敛)，单边手数为10，单位为2，表示我们将会各在cu1706和cu1707上成对委托5次，每次2手，最大仓差为风险敞口，具体含义见1.3交易规则的定义。全部设定完成即可点击开仓跟单。</w:t>
      </w:r>
    </w:p>
    <w:p>
      <w:pPr>
        <w:numPr>
          <w:ilvl w:val="0"/>
          <w:numId w:val="0"/>
        </w:numPr>
        <w:jc w:val="both"/>
      </w:pPr>
      <w:r>
        <w:drawing>
          <wp:inline distT="0" distB="0" distL="114300" distR="114300">
            <wp:extent cx="5228590" cy="1864995"/>
            <wp:effectExtent l="0" t="0" r="3810" b="190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8"/>
                    <a:stretch>
                      <a:fillRect/>
                    </a:stretch>
                  </pic:blipFill>
                  <pic:spPr>
                    <a:xfrm>
                      <a:off x="0" y="0"/>
                      <a:ext cx="5228590" cy="1864995"/>
                    </a:xfrm>
                    <a:prstGeom prst="rect">
                      <a:avLst/>
                    </a:prstGeom>
                    <a:noFill/>
                    <a:ln w="9525">
                      <a:noFill/>
                    </a:ln>
                  </pic:spPr>
                </pic:pic>
              </a:graphicData>
            </a:graphic>
          </wp:inline>
        </w:drawing>
      </w:r>
    </w:p>
    <w:p>
      <w:pPr>
        <w:numPr>
          <w:ilvl w:val="0"/>
          <w:numId w:val="4"/>
        </w:numPr>
        <w:jc w:val="both"/>
        <w:rPr>
          <w:rFonts w:hint="eastAsia"/>
          <w:lang w:val="en-US" w:eastAsia="zh-CN"/>
        </w:rPr>
      </w:pPr>
      <w:r>
        <w:rPr>
          <w:rFonts w:hint="eastAsia"/>
          <w:lang w:val="en-US" w:eastAsia="zh-CN"/>
        </w:rPr>
        <w:t>确认跟单。弹出可视化下单流程界面开始运行。</w:t>
      </w:r>
    </w:p>
    <w:p>
      <w:pPr>
        <w:numPr>
          <w:ilvl w:val="0"/>
          <w:numId w:val="0"/>
        </w:numPr>
        <w:jc w:val="center"/>
      </w:pPr>
      <w:r>
        <w:drawing>
          <wp:inline distT="0" distB="0" distL="114300" distR="114300">
            <wp:extent cx="5271770" cy="596265"/>
            <wp:effectExtent l="0" t="0" r="11430" b="63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0"/>
                    <a:stretch>
                      <a:fillRect/>
                    </a:stretch>
                  </pic:blipFill>
                  <pic:spPr>
                    <a:xfrm>
                      <a:off x="0" y="0"/>
                      <a:ext cx="5271770" cy="596265"/>
                    </a:xfrm>
                    <a:prstGeom prst="rect">
                      <a:avLst/>
                    </a:prstGeom>
                    <a:noFill/>
                    <a:ln w="9525">
                      <a:noFill/>
                    </a:ln>
                  </pic:spPr>
                </pic:pic>
              </a:graphicData>
            </a:graphic>
          </wp:inline>
        </w:drawing>
      </w:r>
    </w:p>
    <w:p>
      <w:pPr>
        <w:numPr>
          <w:ilvl w:val="0"/>
          <w:numId w:val="0"/>
        </w:numPr>
        <w:jc w:val="center"/>
      </w:pPr>
    </w:p>
    <w:p>
      <w:pPr>
        <w:numPr>
          <w:ilvl w:val="0"/>
          <w:numId w:val="0"/>
        </w:numPr>
        <w:jc w:val="center"/>
      </w:pPr>
    </w:p>
    <w:p>
      <w:pPr>
        <w:numPr>
          <w:ilvl w:val="0"/>
          <w:numId w:val="0"/>
        </w:numPr>
        <w:jc w:val="center"/>
      </w:pPr>
    </w:p>
    <w:p>
      <w:pPr>
        <w:numPr>
          <w:ilvl w:val="0"/>
          <w:numId w:val="4"/>
        </w:numPr>
        <w:jc w:val="center"/>
        <w:rPr>
          <w:rFonts w:hint="eastAsia"/>
          <w:lang w:val="en-US" w:eastAsia="zh-CN"/>
        </w:rPr>
      </w:pPr>
      <w:r>
        <w:rPr>
          <w:rFonts w:hint="eastAsia"/>
          <w:lang w:val="en-US" w:eastAsia="zh-CN"/>
        </w:rPr>
        <w:t>套利流程已经启动。目前价差为-30，B排(cu1706)，S排(cu1707)和均未开始委托。当价差小于等于-50时，优先买入合约cu1706合约开始以设定的对手价买入，</w:t>
      </w:r>
    </w:p>
    <w:p>
      <w:pPr>
        <w:numPr>
          <w:ilvl w:val="0"/>
          <w:numId w:val="0"/>
        </w:numPr>
        <w:jc w:val="both"/>
        <w:rPr>
          <w:rFonts w:hint="eastAsia"/>
          <w:lang w:val="en-US" w:eastAsia="zh-CN"/>
        </w:rPr>
      </w:pPr>
      <w:r>
        <w:drawing>
          <wp:inline distT="0" distB="0" distL="114300" distR="114300">
            <wp:extent cx="5267325" cy="808990"/>
            <wp:effectExtent l="0" t="0" r="3175" b="381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1"/>
                    <a:stretch>
                      <a:fillRect/>
                    </a:stretch>
                  </pic:blipFill>
                  <pic:spPr>
                    <a:xfrm>
                      <a:off x="0" y="0"/>
                      <a:ext cx="5267325" cy="808990"/>
                    </a:xfrm>
                    <a:prstGeom prst="rect">
                      <a:avLst/>
                    </a:prstGeom>
                    <a:noFill/>
                    <a:ln w="9525">
                      <a:noFill/>
                    </a:ln>
                  </pic:spPr>
                </pic:pic>
              </a:graphicData>
            </a:graphic>
          </wp:inline>
        </w:drawing>
      </w:r>
    </w:p>
    <w:p>
      <w:pPr>
        <w:numPr>
          <w:ilvl w:val="0"/>
          <w:numId w:val="0"/>
        </w:numPr>
        <w:jc w:val="both"/>
        <w:rPr>
          <w:rFonts w:hint="eastAsia"/>
          <w:lang w:val="en-US" w:eastAsia="zh-CN"/>
        </w:rPr>
      </w:pPr>
      <w:r>
        <w:rPr>
          <w:rFonts w:hint="eastAsia"/>
          <w:lang w:val="en-US" w:eastAsia="zh-CN"/>
        </w:rPr>
        <w:t>成交之后，cu1707开始以卖出的最优成交价(cu1706的成交价格  - 价差参数)委托，待cu1707委托成功之后，cu1706又以对手价买入2手cu1706等待成交.....</w:t>
      </w:r>
    </w:p>
    <w:p>
      <w:pPr>
        <w:numPr>
          <w:ilvl w:val="0"/>
          <w:numId w:val="0"/>
        </w:numPr>
        <w:jc w:val="both"/>
        <w:rPr>
          <w:rFonts w:hint="eastAsia"/>
          <w:lang w:val="en-US" w:eastAsia="zh-CN"/>
        </w:rPr>
      </w:pPr>
      <w:r>
        <w:drawing>
          <wp:inline distT="0" distB="0" distL="114300" distR="114300">
            <wp:extent cx="5271135" cy="812165"/>
            <wp:effectExtent l="0" t="0" r="12065" b="63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22"/>
                    <a:stretch>
                      <a:fillRect/>
                    </a:stretch>
                  </pic:blipFill>
                  <pic:spPr>
                    <a:xfrm>
                      <a:off x="0" y="0"/>
                      <a:ext cx="5271135" cy="812165"/>
                    </a:xfrm>
                    <a:prstGeom prst="rect">
                      <a:avLst/>
                    </a:prstGeom>
                    <a:noFill/>
                    <a:ln w="9525">
                      <a:noFill/>
                    </a:ln>
                  </pic:spPr>
                </pic:pic>
              </a:graphicData>
            </a:graphic>
          </wp:inline>
        </w:drawing>
      </w:r>
    </w:p>
    <w:p>
      <w:pPr>
        <w:numPr>
          <w:ilvl w:val="0"/>
          <w:numId w:val="0"/>
        </w:numPr>
        <w:jc w:val="both"/>
        <w:rPr>
          <w:rFonts w:hint="eastAsia"/>
          <w:lang w:val="en-US" w:eastAsia="zh-CN"/>
        </w:rPr>
      </w:pPr>
      <w:r>
        <w:rPr>
          <w:rFonts w:hint="eastAsia"/>
          <w:lang w:val="en-US" w:eastAsia="zh-CN"/>
        </w:rPr>
        <w:t>依次，按照1.3的套利交易流程规则完成此次任务。</w:t>
      </w:r>
    </w:p>
    <w:p>
      <w:pPr>
        <w:numPr>
          <w:ilvl w:val="0"/>
          <w:numId w:val="0"/>
        </w:numPr>
        <w:jc w:val="center"/>
      </w:pPr>
    </w:p>
    <w:p>
      <w:pPr>
        <w:numPr>
          <w:ilvl w:val="0"/>
          <w:numId w:val="0"/>
        </w:numPr>
        <w:jc w:val="center"/>
      </w:pPr>
    </w:p>
    <w:p>
      <w:pPr>
        <w:numPr>
          <w:ilvl w:val="0"/>
          <w:numId w:val="0"/>
        </w:numPr>
        <w:jc w:val="center"/>
      </w:pPr>
    </w:p>
    <w:p>
      <w:pPr>
        <w:numPr>
          <w:ilvl w:val="0"/>
          <w:numId w:val="0"/>
        </w:numPr>
        <w:spacing w:line="360" w:lineRule="auto"/>
        <w:jc w:val="left"/>
        <w:rPr>
          <w:rFonts w:hint="eastAsia"/>
          <w:sz w:val="30"/>
          <w:szCs w:val="30"/>
          <w:lang w:val="en-US" w:eastAsia="zh-CN"/>
        </w:rPr>
      </w:pPr>
      <w:r>
        <w:rPr>
          <w:rFonts w:hint="eastAsia"/>
          <w:sz w:val="30"/>
          <w:szCs w:val="30"/>
          <w:lang w:val="en-US" w:eastAsia="zh-CN"/>
        </w:rPr>
        <w:t>2.3.2 仓位管理(可视化面板右键管理)</w:t>
      </w:r>
    </w:p>
    <w:p>
      <w:pPr>
        <w:numPr>
          <w:ilvl w:val="0"/>
          <w:numId w:val="0"/>
        </w:numPr>
        <w:jc w:val="left"/>
        <w:rPr>
          <w:rStyle w:val="10"/>
          <w:rFonts w:hint="eastAsia"/>
          <w:lang w:val="en-US" w:eastAsia="zh-CN"/>
        </w:rPr>
      </w:pPr>
    </w:p>
    <w:p>
      <w:pPr>
        <w:numPr>
          <w:ilvl w:val="0"/>
          <w:numId w:val="0"/>
        </w:numPr>
        <w:jc w:val="left"/>
        <w:rPr>
          <w:rFonts w:hint="eastAsia"/>
          <w:lang w:val="en-US" w:eastAsia="zh-CN"/>
        </w:rPr>
      </w:pPr>
      <w:r>
        <w:rPr>
          <w:rFonts w:hint="eastAsia"/>
          <w:lang w:val="en-US" w:eastAsia="zh-CN"/>
        </w:rPr>
        <w:t>1.委托成交明细：可查看正在开仓或者已经完成的套利单的委托成交明细。右键可视化任务面板，选择&gt;&gt;查看明细：</w:t>
      </w:r>
    </w:p>
    <w:p>
      <w:pPr>
        <w:numPr>
          <w:ilvl w:val="0"/>
          <w:numId w:val="0"/>
        </w:numPr>
        <w:jc w:val="left"/>
      </w:pPr>
      <w:r>
        <w:drawing>
          <wp:inline distT="0" distB="0" distL="114300" distR="114300">
            <wp:extent cx="5269230" cy="2406015"/>
            <wp:effectExtent l="0" t="0" r="1270" b="698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23"/>
                    <a:stretch>
                      <a:fillRect/>
                    </a:stretch>
                  </pic:blipFill>
                  <pic:spPr>
                    <a:xfrm>
                      <a:off x="0" y="0"/>
                      <a:ext cx="5269230" cy="2406015"/>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eastAsia="宋体"/>
          <w:lang w:val="en-US" w:eastAsia="zh-CN"/>
        </w:rPr>
      </w:pPr>
      <w:r>
        <w:rPr>
          <w:rFonts w:hint="eastAsia"/>
          <w:lang w:val="en-US" w:eastAsia="zh-CN"/>
        </w:rPr>
        <w:t>2.开仓仓位对齐。开仓仓位对齐原理和开仓追单对齐的原理一致，不同的地方在于开仓追单对齐是补齐持仓较少的一方和合约，而开仓仓位对齐在于平仓持仓较多的一方的合约，其目的都在于对齐买卖方的持仓对冲风险敞口，原理和操作一致，见开仓追单对齐。</w:t>
      </w:r>
    </w:p>
    <w:p>
      <w:pPr>
        <w:numPr>
          <w:ilvl w:val="0"/>
          <w:numId w:val="0"/>
        </w:numPr>
        <w:jc w:val="left"/>
      </w:pPr>
    </w:p>
    <w:p>
      <w:pPr>
        <w:numPr>
          <w:ilvl w:val="0"/>
          <w:numId w:val="0"/>
        </w:numPr>
        <w:jc w:val="left"/>
      </w:pPr>
    </w:p>
    <w:p>
      <w:pPr>
        <w:numPr>
          <w:ilvl w:val="0"/>
          <w:numId w:val="0"/>
        </w:numPr>
        <w:jc w:val="left"/>
        <w:rPr>
          <w:rFonts w:hint="eastAsia" w:eastAsia="宋体"/>
          <w:lang w:val="en-US" w:eastAsia="zh-CN"/>
        </w:rPr>
      </w:pPr>
      <w:r>
        <w:rPr>
          <w:rFonts w:hint="eastAsia"/>
          <w:lang w:val="en-US" w:eastAsia="zh-CN"/>
        </w:rPr>
        <w:t>3.</w:t>
      </w:r>
      <w:bookmarkStart w:id="19" w:name="OLE_LINK8"/>
      <w:r>
        <w:rPr>
          <w:rFonts w:hint="eastAsia"/>
          <w:lang w:val="en-US" w:eastAsia="zh-CN"/>
        </w:rPr>
        <w:t>开仓追单对齐</w:t>
      </w:r>
      <w:bookmarkEnd w:id="19"/>
      <w:r>
        <w:rPr>
          <w:rFonts w:hint="eastAsia"/>
          <w:lang w:val="en-US" w:eastAsia="zh-CN"/>
        </w:rPr>
        <w:t>。对于正在运行中的套利任务，存在一些情况尤其是行情变化很大的时候，因为按照我们定义的委托规则(见1.3),就会存在一定的风险敞口问题，所以特殊情形下，交易员会强制进行开仓追单对齐，例如：</w:t>
      </w:r>
    </w:p>
    <w:p>
      <w:pPr>
        <w:numPr>
          <w:ilvl w:val="0"/>
          <w:numId w:val="0"/>
        </w:numPr>
        <w:jc w:val="left"/>
        <w:rPr>
          <w:rStyle w:val="10"/>
          <w:rFonts w:hint="eastAsia"/>
          <w:lang w:val="en-US" w:eastAsia="zh-CN"/>
        </w:rPr>
      </w:pPr>
      <w:r>
        <w:drawing>
          <wp:inline distT="0" distB="0" distL="114300" distR="114300">
            <wp:extent cx="5267325" cy="839470"/>
            <wp:effectExtent l="0" t="0" r="3175" b="1143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24"/>
                    <a:stretch>
                      <a:fillRect/>
                    </a:stretch>
                  </pic:blipFill>
                  <pic:spPr>
                    <a:xfrm>
                      <a:off x="0" y="0"/>
                      <a:ext cx="5267325" cy="83947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如果现在受制于行情原因，我们需要强制补齐S方即卖方的仓位，使得和B即买方形成一致的仓位降低风险敞口，我们就需要先撤掉S卖方合约的2个单位的委托单，撤单成功之后，再按照市价(我们自己定义的全局设置)卖空2个单位的S合约。</w:t>
      </w:r>
    </w:p>
    <w:p>
      <w:pPr>
        <w:numPr>
          <w:ilvl w:val="0"/>
          <w:numId w:val="0"/>
        </w:numPr>
        <w:jc w:val="center"/>
        <w:rPr>
          <w:rFonts w:hint="eastAsia"/>
          <w:lang w:val="en-US" w:eastAsia="zh-CN"/>
        </w:rPr>
      </w:pPr>
      <w:r>
        <w:rPr>
          <w:rFonts w:hint="eastAsia"/>
          <w:lang w:val="en-US" w:eastAsia="zh-CN"/>
        </w:rPr>
        <w:t>操作如下：</w:t>
      </w:r>
    </w:p>
    <w:p>
      <w:pPr>
        <w:numPr>
          <w:ilvl w:val="0"/>
          <w:numId w:val="0"/>
        </w:numPr>
        <w:jc w:val="center"/>
        <w:rPr>
          <w:rFonts w:hint="eastAsia"/>
          <w:lang w:val="en-US" w:eastAsia="zh-CN"/>
        </w:rPr>
      </w:pPr>
      <w:r>
        <w:rPr>
          <w:rFonts w:hint="eastAsia"/>
          <w:lang w:val="en-US" w:eastAsia="zh-CN"/>
        </w:rPr>
        <w:t>[1].先停止后台正在运行的套利任务流程。(点击绿色停止按钮停止，红色为已停止)</w:t>
      </w:r>
    </w:p>
    <w:p>
      <w:pPr>
        <w:numPr>
          <w:ilvl w:val="0"/>
          <w:numId w:val="0"/>
        </w:numPr>
        <w:jc w:val="center"/>
      </w:pPr>
      <w:r>
        <w:drawing>
          <wp:inline distT="0" distB="0" distL="114300" distR="114300">
            <wp:extent cx="5267325" cy="840740"/>
            <wp:effectExtent l="0" t="0" r="3175" b="10160"/>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25"/>
                    <a:stretch>
                      <a:fillRect/>
                    </a:stretch>
                  </pic:blipFill>
                  <pic:spPr>
                    <a:xfrm>
                      <a:off x="0" y="0"/>
                      <a:ext cx="5267325" cy="840740"/>
                    </a:xfrm>
                    <a:prstGeom prst="rect">
                      <a:avLst/>
                    </a:prstGeom>
                    <a:noFill/>
                    <a:ln w="9525">
                      <a:noFill/>
                    </a:ln>
                  </pic:spPr>
                </pic:pic>
              </a:graphicData>
            </a:graphic>
          </wp:inline>
        </w:drawing>
      </w:r>
    </w:p>
    <w:p>
      <w:pPr>
        <w:numPr>
          <w:ilvl w:val="0"/>
          <w:numId w:val="0"/>
        </w:numPr>
        <w:jc w:val="both"/>
        <w:rPr>
          <w:rFonts w:hint="eastAsia"/>
          <w:lang w:val="en-US" w:eastAsia="zh-CN"/>
        </w:rPr>
      </w:pPr>
      <w:r>
        <w:rPr>
          <w:rFonts w:hint="eastAsia"/>
          <w:lang w:val="en-US" w:eastAsia="zh-CN"/>
        </w:rPr>
        <w:t>[2].撤掉S方(cu1707)的2个单位的委托单(撤单成功后，S排两个单位黄灯变为红灯)</w:t>
      </w:r>
    </w:p>
    <w:p>
      <w:pPr>
        <w:numPr>
          <w:ilvl w:val="0"/>
          <w:numId w:val="0"/>
        </w:numPr>
        <w:jc w:val="both"/>
      </w:pPr>
      <w:r>
        <w:drawing>
          <wp:inline distT="0" distB="0" distL="114300" distR="114300">
            <wp:extent cx="5270500" cy="1774190"/>
            <wp:effectExtent l="0" t="0" r="0" b="3810"/>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pic:cNvPicPr>
                      <a:picLocks noChangeAspect="1"/>
                    </pic:cNvPicPr>
                  </pic:nvPicPr>
                  <pic:blipFill>
                    <a:blip r:embed="rId26"/>
                    <a:stretch>
                      <a:fillRect/>
                    </a:stretch>
                  </pic:blipFill>
                  <pic:spPr>
                    <a:xfrm>
                      <a:off x="0" y="0"/>
                      <a:ext cx="5270500" cy="1774190"/>
                    </a:xfrm>
                    <a:prstGeom prst="rect">
                      <a:avLst/>
                    </a:prstGeom>
                    <a:noFill/>
                    <a:ln w="9525">
                      <a:noFill/>
                    </a:ln>
                  </pic:spPr>
                </pic:pic>
              </a:graphicData>
            </a:graphic>
          </wp:inline>
        </w:drawing>
      </w:r>
    </w:p>
    <w:p>
      <w:pPr>
        <w:numPr>
          <w:ilvl w:val="0"/>
          <w:numId w:val="0"/>
        </w:numPr>
        <w:jc w:val="both"/>
      </w:pPr>
      <w:r>
        <w:drawing>
          <wp:inline distT="0" distB="0" distL="114300" distR="114300">
            <wp:extent cx="5271770" cy="835025"/>
            <wp:effectExtent l="0" t="0" r="11430" b="3175"/>
            <wp:docPr id="3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2"/>
                    <pic:cNvPicPr>
                      <a:picLocks noChangeAspect="1"/>
                    </pic:cNvPicPr>
                  </pic:nvPicPr>
                  <pic:blipFill>
                    <a:blip r:embed="rId27"/>
                    <a:stretch>
                      <a:fillRect/>
                    </a:stretch>
                  </pic:blipFill>
                  <pic:spPr>
                    <a:xfrm>
                      <a:off x="0" y="0"/>
                      <a:ext cx="5271770" cy="835025"/>
                    </a:xfrm>
                    <a:prstGeom prst="rect">
                      <a:avLst/>
                    </a:prstGeom>
                    <a:noFill/>
                    <a:ln w="9525">
                      <a:noFill/>
                    </a:ln>
                  </pic:spPr>
                </pic:pic>
              </a:graphicData>
            </a:graphic>
          </wp:inline>
        </w:drawing>
      </w:r>
    </w:p>
    <w:p>
      <w:pPr>
        <w:numPr>
          <w:ilvl w:val="0"/>
          <w:numId w:val="0"/>
        </w:numPr>
        <w:jc w:val="both"/>
        <w:rPr>
          <w:rFonts w:hint="eastAsia"/>
          <w:lang w:val="en-US" w:eastAsia="zh-CN"/>
        </w:rPr>
      </w:pPr>
      <w:r>
        <w:rPr>
          <w:rFonts w:hint="eastAsia"/>
          <w:lang w:val="en-US" w:eastAsia="zh-CN"/>
        </w:rPr>
        <w:t>[3].开仓追单对齐。市价(软件可自己设置定义)委托S方(cu1707)补齐2个单位的卖方仓位，和买方形成一致的仓位</w:t>
      </w:r>
    </w:p>
    <w:p>
      <w:pPr>
        <w:numPr>
          <w:ilvl w:val="0"/>
          <w:numId w:val="0"/>
        </w:numPr>
        <w:jc w:val="center"/>
      </w:pPr>
      <w:r>
        <w:drawing>
          <wp:inline distT="0" distB="0" distL="114300" distR="114300">
            <wp:extent cx="5265420" cy="1578610"/>
            <wp:effectExtent l="0" t="0" r="5080" b="8890"/>
            <wp:docPr id="4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8"/>
                    <pic:cNvPicPr>
                      <a:picLocks noChangeAspect="1"/>
                    </pic:cNvPicPr>
                  </pic:nvPicPr>
                  <pic:blipFill>
                    <a:blip r:embed="rId28"/>
                    <a:stretch>
                      <a:fillRect/>
                    </a:stretch>
                  </pic:blipFill>
                  <pic:spPr>
                    <a:xfrm>
                      <a:off x="0" y="0"/>
                      <a:ext cx="5265420" cy="1578610"/>
                    </a:xfrm>
                    <a:prstGeom prst="rect">
                      <a:avLst/>
                    </a:prstGeom>
                    <a:noFill/>
                    <a:ln w="9525">
                      <a:noFill/>
                    </a:ln>
                  </pic:spPr>
                </pic:pic>
              </a:graphicData>
            </a:graphic>
          </wp:inline>
        </w:drawing>
      </w:r>
    </w:p>
    <w:p>
      <w:pPr>
        <w:numPr>
          <w:ilvl w:val="0"/>
          <w:numId w:val="0"/>
        </w:numPr>
        <w:jc w:val="center"/>
      </w:pPr>
      <w:r>
        <w:drawing>
          <wp:inline distT="0" distB="0" distL="114300" distR="114300">
            <wp:extent cx="5271135" cy="812165"/>
            <wp:effectExtent l="0" t="0" r="12065" b="635"/>
            <wp:docPr id="4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9"/>
                    <pic:cNvPicPr>
                      <a:picLocks noChangeAspect="1"/>
                    </pic:cNvPicPr>
                  </pic:nvPicPr>
                  <pic:blipFill>
                    <a:blip r:embed="rId29"/>
                    <a:stretch>
                      <a:fillRect/>
                    </a:stretch>
                  </pic:blipFill>
                  <pic:spPr>
                    <a:xfrm>
                      <a:off x="0" y="0"/>
                      <a:ext cx="5271135" cy="812165"/>
                    </a:xfrm>
                    <a:prstGeom prst="rect">
                      <a:avLst/>
                    </a:prstGeom>
                    <a:noFill/>
                    <a:ln w="9525">
                      <a:noFill/>
                    </a:ln>
                  </pic:spPr>
                </pic:pic>
              </a:graphicData>
            </a:graphic>
          </wp:inline>
        </w:drawing>
      </w:r>
    </w:p>
    <w:p>
      <w:pPr>
        <w:numPr>
          <w:ilvl w:val="0"/>
          <w:numId w:val="0"/>
        </w:numPr>
        <w:jc w:val="center"/>
        <w:rPr>
          <w:rFonts w:hint="eastAsia"/>
          <w:lang w:val="en-US" w:eastAsia="zh-CN"/>
        </w:rPr>
      </w:pPr>
    </w:p>
    <w:p>
      <w:pPr>
        <w:numPr>
          <w:ilvl w:val="0"/>
          <w:numId w:val="0"/>
        </w:numPr>
        <w:jc w:val="center"/>
        <w:rPr>
          <w:rFonts w:hint="eastAsia"/>
          <w:lang w:val="en-US" w:eastAsia="zh-CN"/>
        </w:rPr>
      </w:pPr>
    </w:p>
    <w:p>
      <w:pPr>
        <w:numPr>
          <w:ilvl w:val="0"/>
          <w:numId w:val="0"/>
        </w:numPr>
        <w:jc w:val="center"/>
        <w:rPr>
          <w:rFonts w:hint="eastAsia" w:eastAsia="宋体"/>
          <w:lang w:val="en-US" w:eastAsia="zh-CN"/>
        </w:rPr>
      </w:pPr>
      <w:r>
        <w:rPr>
          <w:rFonts w:hint="eastAsia"/>
          <w:lang w:val="en-US" w:eastAsia="zh-CN"/>
        </w:rPr>
        <w:t>4.强制开仓完成。正常情形下一个面板所有委托任务全部变为绿色，该套利单才作为结束完成处理，中途完成仓位对齐等操作，该套利单也可以重新再次开启继续进行流程。当设置强制开仓完成，不想再继续该流程时(例如需要中途平仓，处于开仓中状态时，是无法进行平仓动作的所以需要先停止流程，撤掉委托单，强制开仓完成，然后再进行平仓操作)，该套利面板作为完成处理，就不能再继续启动，该套利任务结束。</w:t>
      </w:r>
    </w:p>
    <w:p>
      <w:pPr>
        <w:numPr>
          <w:ilvl w:val="0"/>
          <w:numId w:val="0"/>
        </w:numPr>
        <w:jc w:val="both"/>
        <w:rPr>
          <w:rStyle w:val="10"/>
          <w:rFonts w:hint="eastAsia"/>
          <w:lang w:val="en-US" w:eastAsia="zh-CN"/>
        </w:rPr>
      </w:pPr>
    </w:p>
    <w:p>
      <w:pPr>
        <w:numPr>
          <w:ilvl w:val="0"/>
          <w:numId w:val="0"/>
        </w:numPr>
        <w:spacing w:line="360" w:lineRule="auto"/>
        <w:jc w:val="left"/>
        <w:rPr>
          <w:rFonts w:hint="eastAsia"/>
          <w:sz w:val="30"/>
          <w:szCs w:val="30"/>
          <w:lang w:val="en-US" w:eastAsia="zh-CN"/>
        </w:rPr>
      </w:pPr>
      <w:r>
        <w:rPr>
          <w:rFonts w:hint="eastAsia"/>
          <w:sz w:val="30"/>
          <w:szCs w:val="30"/>
          <w:lang w:val="en-US" w:eastAsia="zh-CN"/>
        </w:rPr>
        <w:t>2.3.3 平仓流程</w:t>
      </w:r>
    </w:p>
    <w:p>
      <w:pPr>
        <w:numPr>
          <w:ilvl w:val="0"/>
          <w:numId w:val="0"/>
        </w:numPr>
        <w:jc w:val="left"/>
        <w:rPr>
          <w:rFonts w:hint="eastAsia"/>
          <w:lang w:val="en-US" w:eastAsia="zh-CN"/>
        </w:rPr>
      </w:pPr>
      <w:r>
        <w:rPr>
          <w:rFonts w:hint="eastAsia"/>
          <w:lang w:val="en-US" w:eastAsia="zh-CN"/>
        </w:rPr>
        <w:t>1</w:t>
      </w:r>
      <w:r>
        <w:rPr>
          <w:rFonts w:hint="eastAsia"/>
          <w:lang w:val="en-US" w:eastAsia="zh-CN"/>
        </w:rPr>
        <w:t>.开始平仓。右键面板&gt;&gt;开始平仓。提示先用面板[平仓设定]按钮进行平仓参数设定，例如当价差缩小&gt;=-100时，开始进行平仓，平仓优先合约等平仓参数按照设定开始平仓。设定完毕，点击开始平仓</w:t>
      </w:r>
    </w:p>
    <w:p>
      <w:pPr>
        <w:numPr>
          <w:ilvl w:val="0"/>
          <w:numId w:val="0"/>
        </w:numPr>
        <w:ind w:firstLine="420" w:firstLineChars="0"/>
        <w:jc w:val="left"/>
        <w:rPr>
          <w:rFonts w:hint="eastAsia"/>
          <w:lang w:val="en-US" w:eastAsia="zh-CN"/>
        </w:rPr>
      </w:pPr>
      <w:r>
        <w:rPr>
          <w:rFonts w:hint="eastAsia"/>
          <w:lang w:val="en-US" w:eastAsia="zh-CN"/>
        </w:rPr>
        <w:t>平仓前状态(B排为cu1707有两笔全部已经成交单，S 排cu1708有两笔全部已经成交单)：</w:t>
      </w:r>
    </w:p>
    <w:p>
      <w:pPr>
        <w:numPr>
          <w:ilvl w:val="0"/>
          <w:numId w:val="0"/>
        </w:numPr>
        <w:ind w:firstLine="420" w:firstLineChars="0"/>
        <w:jc w:val="left"/>
      </w:pPr>
      <w:r>
        <w:drawing>
          <wp:inline distT="0" distB="0" distL="114300" distR="114300">
            <wp:extent cx="5270500" cy="848360"/>
            <wp:effectExtent l="0" t="0" r="0" b="254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30"/>
                    <a:stretch>
                      <a:fillRect/>
                    </a:stretch>
                  </pic:blipFill>
                  <pic:spPr>
                    <a:xfrm>
                      <a:off x="0" y="0"/>
                      <a:ext cx="5270500" cy="848360"/>
                    </a:xfrm>
                    <a:prstGeom prst="rect">
                      <a:avLst/>
                    </a:prstGeom>
                    <a:noFill/>
                    <a:ln w="9525">
                      <a:noFill/>
                    </a:ln>
                  </pic:spPr>
                </pic:pic>
              </a:graphicData>
            </a:graphic>
          </wp:inline>
        </w:drawing>
      </w:r>
    </w:p>
    <w:p>
      <w:pPr>
        <w:numPr>
          <w:ilvl w:val="0"/>
          <w:numId w:val="0"/>
        </w:numPr>
        <w:ind w:firstLine="420" w:firstLineChars="0"/>
        <w:jc w:val="left"/>
        <w:rPr>
          <w:rFonts w:hint="eastAsia"/>
          <w:lang w:val="en-US" w:eastAsia="zh-CN"/>
        </w:rPr>
      </w:pPr>
      <w:r>
        <w:rPr>
          <w:rFonts w:hint="eastAsia"/>
          <w:lang w:val="en-US" w:eastAsia="zh-CN"/>
        </w:rPr>
        <w:t>平仓开始进入委托状态(设定见下方，当价差&gt;=-100时开始平仓，平仓的优先合约为cu1707,cu1707两笔平仓单S排已经全部成交，cu1708两笔平仓单B排已经发出平仓委托单处于等待成交状态)：</w:t>
      </w:r>
    </w:p>
    <w:p>
      <w:pPr>
        <w:numPr>
          <w:ilvl w:val="0"/>
          <w:numId w:val="0"/>
        </w:numPr>
        <w:ind w:firstLine="420" w:firstLineChars="0"/>
        <w:jc w:val="left"/>
      </w:pPr>
      <w:r>
        <w:drawing>
          <wp:inline distT="0" distB="0" distL="114300" distR="114300">
            <wp:extent cx="5269230" cy="1800225"/>
            <wp:effectExtent l="0" t="0" r="1270" b="317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31"/>
                    <a:stretch>
                      <a:fillRect/>
                    </a:stretch>
                  </pic:blipFill>
                  <pic:spPr>
                    <a:xfrm>
                      <a:off x="0" y="0"/>
                      <a:ext cx="5269230" cy="1800225"/>
                    </a:xfrm>
                    <a:prstGeom prst="rect">
                      <a:avLst/>
                    </a:prstGeom>
                    <a:noFill/>
                    <a:ln w="9525">
                      <a:noFill/>
                    </a:ln>
                  </pic:spPr>
                </pic:pic>
              </a:graphicData>
            </a:graphic>
          </wp:inline>
        </w:drawing>
      </w:r>
    </w:p>
    <w:p>
      <w:pPr>
        <w:numPr>
          <w:ilvl w:val="0"/>
          <w:numId w:val="0"/>
        </w:numPr>
        <w:ind w:firstLine="420" w:firstLineChars="0"/>
        <w:jc w:val="left"/>
        <w:rPr>
          <w:rFonts w:hint="eastAsia" w:eastAsia="宋体"/>
          <w:lang w:val="en-US" w:eastAsia="zh-CN"/>
        </w:rPr>
      </w:pPr>
    </w:p>
    <w:p>
      <w:pPr>
        <w:widowControl w:val="0"/>
        <w:numPr>
          <w:ilvl w:val="0"/>
          <w:numId w:val="0"/>
        </w:numPr>
        <w:jc w:val="both"/>
      </w:pPr>
    </w:p>
    <w:p>
      <w:pPr>
        <w:widowControl w:val="0"/>
        <w:numPr>
          <w:ilvl w:val="0"/>
          <w:numId w:val="0"/>
        </w:numPr>
        <w:jc w:val="both"/>
        <w:rPr>
          <w:rFonts w:hint="eastAsia"/>
          <w:lang w:val="en-US" w:eastAsia="zh-CN"/>
        </w:rPr>
      </w:pPr>
    </w:p>
    <w:p>
      <w:pPr>
        <w:numPr>
          <w:ilvl w:val="0"/>
          <w:numId w:val="0"/>
        </w:numPr>
        <w:ind w:firstLine="420" w:firstLineChars="0"/>
        <w:jc w:val="center"/>
        <w:rPr>
          <w:rFonts w:hint="eastAsia" w:eastAsia="宋体"/>
          <w:lang w:val="en-US" w:eastAsia="zh-CN"/>
        </w:rPr>
      </w:pPr>
      <w:r>
        <w:rPr>
          <w:rFonts w:hint="eastAsia"/>
          <w:lang w:val="en-US" w:eastAsia="zh-CN"/>
        </w:rPr>
        <w:t>正常情形下一个面板所有委托任务全部变为绿色，该套利单才作为结束完成处理，中途完成仓位对齐等操作，该套利单也可以重新再次开启继续进行流程。当设置强制开仓完成，不想再继续该流程时(例如需要中途平仓，处于开仓中状态时，是无法进行平仓动作的所以需要先停止流程&gt;&gt;撤掉委托单&gt;&gt;强制开仓完成，然后再进行平仓操作)，该套利面板作为完成处理，就不能再继续启动，该套利任务结束。</w:t>
      </w:r>
    </w:p>
    <w:p>
      <w:pPr>
        <w:widowControl w:val="0"/>
        <w:numPr>
          <w:ilvl w:val="0"/>
          <w:numId w:val="0"/>
        </w:numPr>
        <w:jc w:val="both"/>
        <w:rPr>
          <w:rStyle w:val="10"/>
          <w:rFonts w:hint="eastAsia"/>
          <w:lang w:val="en-US" w:eastAsia="zh-CN"/>
        </w:rPr>
      </w:pPr>
    </w:p>
    <w:p>
      <w:pPr>
        <w:widowControl w:val="0"/>
        <w:numPr>
          <w:ilvl w:val="0"/>
          <w:numId w:val="0"/>
        </w:numPr>
        <w:jc w:val="both"/>
        <w:rPr>
          <w:rStyle w:val="10"/>
          <w:rFonts w:hint="eastAsia"/>
          <w:lang w:val="en-US" w:eastAsia="zh-CN"/>
        </w:rPr>
      </w:pPr>
    </w:p>
    <w:p>
      <w:pPr>
        <w:widowControl w:val="0"/>
        <w:numPr>
          <w:ilvl w:val="0"/>
          <w:numId w:val="0"/>
        </w:numPr>
        <w:jc w:val="both"/>
        <w:rPr>
          <w:rStyle w:val="10"/>
          <w:rFonts w:hint="eastAsia"/>
          <w:lang w:val="en-US" w:eastAsia="zh-CN"/>
        </w:rPr>
      </w:pPr>
    </w:p>
    <w:p>
      <w:pPr>
        <w:pStyle w:val="2"/>
        <w:numPr>
          <w:ilvl w:val="0"/>
          <w:numId w:val="5"/>
        </w:numPr>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异常委托单处理</w:t>
      </w:r>
    </w:p>
    <w:p>
      <w:pPr>
        <w:numPr>
          <w:ilvl w:val="0"/>
          <w:numId w:val="0"/>
        </w:numPr>
        <w:jc w:val="left"/>
        <w:rPr>
          <w:rFonts w:hint="eastAsia"/>
          <w:lang w:val="en-US" w:eastAsia="zh-CN"/>
        </w:rPr>
      </w:pPr>
      <w:r>
        <w:rPr>
          <w:rFonts w:hint="eastAsia"/>
          <w:lang w:val="en-US" w:eastAsia="zh-CN"/>
        </w:rPr>
        <w:t>处理原因：</w:t>
      </w:r>
    </w:p>
    <w:p>
      <w:pPr>
        <w:numPr>
          <w:ilvl w:val="0"/>
          <w:numId w:val="0"/>
        </w:numPr>
        <w:ind w:firstLine="420" w:firstLineChars="0"/>
        <w:jc w:val="left"/>
        <w:rPr>
          <w:rFonts w:hint="eastAsia"/>
          <w:lang w:val="en-US" w:eastAsia="zh-CN"/>
        </w:rPr>
      </w:pPr>
      <w:r>
        <w:rPr>
          <w:rFonts w:hint="eastAsia"/>
          <w:lang w:val="en-US" w:eastAsia="zh-CN"/>
        </w:rPr>
        <w:t>当已经开启套利单流程，且有委托的情形下，第二天重新开启软件,因为交易所会盘后结算会处理掉所有的委托单，我们并不确定在第二天重启软件之前，委托出去的委托单的成交情况。为了使得套利单能继续正常进行，所以要人工对套利单对照目前账户委托单的真实委托成交情况进行人工比对处理；此时再次开启软件登陆之后，会弹出异常委托单处理窗口在此进行确认。例如：第一次开启软件进行套利单目前状态如下。</w:t>
      </w:r>
    </w:p>
    <w:p>
      <w:pPr>
        <w:numPr>
          <w:ilvl w:val="0"/>
          <w:numId w:val="0"/>
        </w:numPr>
        <w:ind w:firstLine="420" w:firstLineChars="0"/>
        <w:jc w:val="left"/>
      </w:pPr>
      <w:r>
        <w:drawing>
          <wp:inline distT="0" distB="0" distL="114300" distR="114300">
            <wp:extent cx="5271770" cy="1590675"/>
            <wp:effectExtent l="0" t="0" r="1143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2"/>
                    <a:stretch>
                      <a:fillRect/>
                    </a:stretch>
                  </pic:blipFill>
                  <pic:spPr>
                    <a:xfrm>
                      <a:off x="0" y="0"/>
                      <a:ext cx="5271770" cy="1590675"/>
                    </a:xfrm>
                    <a:prstGeom prst="rect">
                      <a:avLst/>
                    </a:prstGeom>
                    <a:noFill/>
                    <a:ln w="9525">
                      <a:noFill/>
                    </a:ln>
                  </pic:spPr>
                </pic:pic>
              </a:graphicData>
            </a:graphic>
          </wp:inline>
        </w:drawing>
      </w:r>
    </w:p>
    <w:p>
      <w:pPr>
        <w:ind w:firstLine="420" w:firstLineChars="0"/>
        <w:rPr>
          <w:rFonts w:hint="eastAsia"/>
          <w:color w:val="FF0000"/>
          <w:lang w:val="en-US" w:eastAsia="zh-CN"/>
        </w:rPr>
      </w:pPr>
    </w:p>
    <w:p>
      <w:pPr>
        <w:numPr>
          <w:ilvl w:val="0"/>
          <w:numId w:val="0"/>
        </w:numPr>
        <w:ind w:firstLine="420" w:firstLineChars="0"/>
        <w:jc w:val="left"/>
        <w:rPr>
          <w:rFonts w:hint="eastAsia"/>
          <w:lang w:val="en-US" w:eastAsia="zh-CN"/>
        </w:rPr>
      </w:pPr>
      <w:r>
        <w:rPr>
          <w:rFonts w:hint="eastAsia"/>
          <w:lang w:val="en-US" w:eastAsia="zh-CN"/>
        </w:rPr>
        <w:t>其中套利单一(0619_015)有两笔委托单(cu1706委托2手买入，cu1707委托2手卖出)处于委托成功状态但尚未成交，套利单二处于平仓中无委托单。现在关闭软件第二天重新登陆之后弹出异常单处理窗口：</w:t>
      </w:r>
    </w:p>
    <w:p>
      <w:pPr>
        <w:numPr>
          <w:ilvl w:val="0"/>
          <w:numId w:val="0"/>
        </w:numPr>
        <w:jc w:val="both"/>
        <w:rPr>
          <w:rFonts w:hint="eastAsia"/>
          <w:lang w:val="en-US" w:eastAsia="zh-CN"/>
        </w:rPr>
      </w:pPr>
      <w:r>
        <w:drawing>
          <wp:inline distT="0" distB="0" distL="114300" distR="114300">
            <wp:extent cx="5273675" cy="1840865"/>
            <wp:effectExtent l="0" t="0" r="952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3"/>
                    <a:stretch>
                      <a:fillRect/>
                    </a:stretch>
                  </pic:blipFill>
                  <pic:spPr>
                    <a:xfrm>
                      <a:off x="0" y="0"/>
                      <a:ext cx="5273675" cy="1840865"/>
                    </a:xfrm>
                    <a:prstGeom prst="rect">
                      <a:avLst/>
                    </a:prstGeom>
                    <a:noFill/>
                    <a:ln w="9525">
                      <a:noFill/>
                    </a:ln>
                  </pic:spPr>
                </pic:pic>
              </a:graphicData>
            </a:graphic>
          </wp:inline>
        </w:drawing>
      </w:r>
    </w:p>
    <w:p>
      <w:pPr>
        <w:numPr>
          <w:ilvl w:val="0"/>
          <w:numId w:val="0"/>
        </w:numPr>
        <w:ind w:firstLine="420" w:firstLineChars="0"/>
        <w:jc w:val="left"/>
        <w:rPr>
          <w:rFonts w:hint="eastAsia"/>
          <w:lang w:val="en-US" w:eastAsia="zh-CN"/>
        </w:rPr>
      </w:pPr>
      <w:r>
        <w:rPr>
          <w:rFonts w:hint="eastAsia"/>
          <w:lang w:val="en-US" w:eastAsia="zh-CN"/>
        </w:rPr>
        <w:t>通过真实账户单子的委托成交情况填写目前委托单的状态，例如：目前真实账号cu1707的委托单已经全部成交，成交价格为45280，手续费为10块；cu1706的委托单被全部撤单。处理如下：</w:t>
      </w:r>
    </w:p>
    <w:p>
      <w:pPr>
        <w:numPr>
          <w:ilvl w:val="0"/>
          <w:numId w:val="0"/>
        </w:numPr>
        <w:jc w:val="both"/>
      </w:pPr>
      <w:r>
        <w:drawing>
          <wp:inline distT="0" distB="0" distL="114300" distR="114300">
            <wp:extent cx="5267325" cy="1827530"/>
            <wp:effectExtent l="0" t="0" r="317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4"/>
                    <a:stretch>
                      <a:fillRect/>
                    </a:stretch>
                  </pic:blipFill>
                  <pic:spPr>
                    <a:xfrm>
                      <a:off x="0" y="0"/>
                      <a:ext cx="5267325" cy="1827530"/>
                    </a:xfrm>
                    <a:prstGeom prst="rect">
                      <a:avLst/>
                    </a:prstGeom>
                    <a:noFill/>
                    <a:ln w="9525">
                      <a:noFill/>
                    </a:ln>
                  </pic:spPr>
                </pic:pic>
              </a:graphicData>
            </a:graphic>
          </wp:inline>
        </w:drawing>
      </w:r>
    </w:p>
    <w:p>
      <w:pPr>
        <w:numPr>
          <w:ilvl w:val="0"/>
          <w:numId w:val="0"/>
        </w:numPr>
        <w:ind w:firstLine="420" w:firstLineChars="0"/>
        <w:jc w:val="left"/>
        <w:rPr>
          <w:rFonts w:hint="eastAsia" w:eastAsia="宋体"/>
          <w:lang w:val="en-US" w:eastAsia="zh-CN"/>
        </w:rPr>
      </w:pPr>
      <w:r>
        <w:rPr>
          <w:rFonts w:hint="eastAsia"/>
          <w:lang w:val="en-US" w:eastAsia="zh-CN"/>
        </w:rPr>
        <w:t>全部处理完毕后，当前状态亮绿灯，备注全部处理完毕之后，点击异常处理，可以再次进入主界面。</w:t>
      </w:r>
    </w:p>
    <w:p>
      <w:pPr>
        <w:widowControl w:val="0"/>
        <w:numPr>
          <w:ilvl w:val="0"/>
          <w:numId w:val="0"/>
        </w:numPr>
        <w:jc w:val="center"/>
      </w:pPr>
      <w:r>
        <w:drawing>
          <wp:inline distT="0" distB="0" distL="114300" distR="114300">
            <wp:extent cx="4986020" cy="819785"/>
            <wp:effectExtent l="0" t="0" r="5080"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35"/>
                    <a:stretch>
                      <a:fillRect/>
                    </a:stretch>
                  </pic:blipFill>
                  <pic:spPr>
                    <a:xfrm>
                      <a:off x="0" y="0"/>
                      <a:ext cx="4986020" cy="819785"/>
                    </a:xfrm>
                    <a:prstGeom prst="rect">
                      <a:avLst/>
                    </a:prstGeom>
                    <a:noFill/>
                    <a:ln w="9525">
                      <a:noFill/>
                    </a:ln>
                  </pic:spPr>
                </pic:pic>
              </a:graphicData>
            </a:graphic>
          </wp:inline>
        </w:drawing>
      </w:r>
    </w:p>
    <w:p>
      <w:pPr>
        <w:widowControl w:val="0"/>
        <w:numPr>
          <w:ilvl w:val="0"/>
          <w:numId w:val="0"/>
        </w:numPr>
        <w:ind w:firstLine="420" w:firstLineChars="0"/>
        <w:jc w:val="both"/>
        <w:rPr>
          <w:rFonts w:hint="eastAsia" w:eastAsia="宋体"/>
          <w:lang w:val="en-US" w:eastAsia="zh-CN"/>
        </w:rPr>
      </w:pPr>
      <w:r>
        <w:rPr>
          <w:rFonts w:hint="eastAsia"/>
          <w:lang w:val="en-US" w:eastAsia="zh-CN"/>
        </w:rPr>
        <w:t>可以看到套利单0619_015,cu1707的委托单已经被确认全部成交状态,红灯变为绿灯，cu1706的委托单已经被确认为被撤单，套利单0619_015可以继续正常运行;</w:t>
      </w:r>
    </w:p>
    <w:p>
      <w:pPr>
        <w:widowControl w:val="0"/>
        <w:numPr>
          <w:ilvl w:val="0"/>
          <w:numId w:val="0"/>
        </w:numPr>
        <w:jc w:val="both"/>
        <w:rPr>
          <w:rStyle w:val="10"/>
          <w:rFonts w:hint="eastAsia"/>
          <w:lang w:val="en-US" w:eastAsia="zh-CN"/>
        </w:rPr>
      </w:pPr>
    </w:p>
    <w:p>
      <w:pPr>
        <w:widowControl w:val="0"/>
        <w:numPr>
          <w:ilvl w:val="0"/>
          <w:numId w:val="0"/>
        </w:numPr>
        <w:jc w:val="both"/>
        <w:rPr>
          <w:rStyle w:val="10"/>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华文细黑">
    <w:panose1 w:val="02010600040101010101"/>
    <w:charset w:val="86"/>
    <w:family w:val="auto"/>
    <w:pitch w:val="default"/>
    <w:sig w:usb0="00000287" w:usb1="080F0000" w:usb2="00000000" w:usb3="00000000" w:csb0="0004009F" w:csb1="DFD70000"/>
  </w:font>
  <w:font w:name="微软雅黑">
    <w:panose1 w:val="020B0503020204020204"/>
    <w:charset w:val="86"/>
    <w:family w:val="swiss"/>
    <w:pitch w:val="default"/>
    <w:sig w:usb0="80000287" w:usb1="28CF3C50" w:usb2="00000016" w:usb3="00000000" w:csb0="0004001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p>
  <w:p>
    <w:pPr>
      <w:pStyle w:val="6"/>
      <w:pBdr>
        <w:top w:val="single" w:color="auto" w:sz="4" w:space="1"/>
        <w:bottom w:val="none" w:color="auto" w:sz="0" w:space="0"/>
      </w:pBdr>
      <w:jc w:val="center"/>
      <w:rPr>
        <w:b/>
        <w:bCs/>
      </w:rPr>
    </w:pPr>
    <w:r>
      <w:rPr>
        <w:b/>
        <w:bCs/>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rFonts w:hint="eastAsia"/>
        <w:b/>
        <w:bCs/>
        <w:sz w:val="18"/>
        <w:lang w:val="en-US" w:eastAsia="zh-CN"/>
      </w:rPr>
      <w:t>Use有色在线套利策略交易平台</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lang w:val="en-US" w:eastAsia="zh-CN"/>
      </w:rPr>
    </w:pPr>
    <w:r>
      <w:rPr>
        <w:rFonts w:hint="eastAsia"/>
        <w:lang w:val="en-US" w:eastAsia="zh-CN"/>
      </w:rPr>
      <w:t>Use有色在线套利策略交易平台</w:t>
    </w:r>
  </w:p>
  <w:p>
    <w:pPr>
      <w:pStyle w:val="6"/>
      <w:rPr>
        <w:rFonts w:hint="eastAsia"/>
        <w:lang w:val="en-US" w:eastAsia="zh-CN"/>
      </w:rPr>
    </w:pPr>
    <w:r>
      <w:rPr>
        <w:rFonts w:hint="eastAsia"/>
        <w:lang w:val="en-US" w:eastAsia="zh-CN"/>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4792E7"/>
    <w:multiLevelType w:val="singleLevel"/>
    <w:tmpl w:val="594792E7"/>
    <w:lvl w:ilvl="0" w:tentative="0">
      <w:start w:val="3"/>
      <w:numFmt w:val="decimal"/>
      <w:suff w:val="nothing"/>
      <w:lvlText w:val="%1."/>
      <w:lvlJc w:val="left"/>
    </w:lvl>
  </w:abstractNum>
  <w:abstractNum w:abstractNumId="1">
    <w:nsid w:val="5947994E"/>
    <w:multiLevelType w:val="singleLevel"/>
    <w:tmpl w:val="5947994E"/>
    <w:lvl w:ilvl="0" w:tentative="0">
      <w:start w:val="1"/>
      <w:numFmt w:val="decimal"/>
      <w:suff w:val="nothing"/>
      <w:lvlText w:val="%1."/>
      <w:lvlJc w:val="left"/>
    </w:lvl>
  </w:abstractNum>
  <w:abstractNum w:abstractNumId="2">
    <w:nsid w:val="5947A0E1"/>
    <w:multiLevelType w:val="singleLevel"/>
    <w:tmpl w:val="5947A0E1"/>
    <w:lvl w:ilvl="0" w:tentative="0">
      <w:start w:val="2"/>
      <w:numFmt w:val="decimal"/>
      <w:suff w:val="nothing"/>
      <w:lvlText w:val="%1."/>
      <w:lvlJc w:val="left"/>
    </w:lvl>
  </w:abstractNum>
  <w:abstractNum w:abstractNumId="3">
    <w:nsid w:val="5947C16C"/>
    <w:multiLevelType w:val="singleLevel"/>
    <w:tmpl w:val="5947C16C"/>
    <w:lvl w:ilvl="0" w:tentative="0">
      <w:start w:val="3"/>
      <w:numFmt w:val="decimal"/>
      <w:suff w:val="nothing"/>
      <w:lvlText w:val="%1."/>
      <w:lvlJc w:val="left"/>
    </w:lvl>
  </w:abstractNum>
  <w:abstractNum w:abstractNumId="4">
    <w:nsid w:val="60E87EE2"/>
    <w:multiLevelType w:val="multilevel"/>
    <w:tmpl w:val="60E87EE2"/>
    <w:lvl w:ilvl="0" w:tentative="0">
      <w:start w:val="1"/>
      <w:numFmt w:val="decimal"/>
      <w:lvlText w:val="%1"/>
      <w:lvlJc w:val="left"/>
      <w:pPr>
        <w:ind w:left="555" w:hanging="555"/>
      </w:pPr>
      <w:rPr>
        <w:rFonts w:hint="default"/>
      </w:rPr>
    </w:lvl>
    <w:lvl w:ilvl="1" w:tentative="0">
      <w:start w:val="1"/>
      <w:numFmt w:val="decimal"/>
      <w:lvlText w:val="%1.%2"/>
      <w:lvlJc w:val="left"/>
      <w:pPr>
        <w:ind w:left="555" w:hanging="55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87388B"/>
    <w:rsid w:val="0996656E"/>
    <w:rsid w:val="0D871E62"/>
    <w:rsid w:val="15B5499B"/>
    <w:rsid w:val="21D03E0C"/>
    <w:rsid w:val="25BC22C1"/>
    <w:rsid w:val="28776B23"/>
    <w:rsid w:val="30F6067E"/>
    <w:rsid w:val="3629128B"/>
    <w:rsid w:val="3F1D7CEB"/>
    <w:rsid w:val="479319E0"/>
    <w:rsid w:val="49977B43"/>
    <w:rsid w:val="4B606720"/>
    <w:rsid w:val="4D663F8D"/>
    <w:rsid w:val="4DE22A39"/>
    <w:rsid w:val="52594E13"/>
    <w:rsid w:val="5EBC06E4"/>
    <w:rsid w:val="60527CEE"/>
    <w:rsid w:val="68F5429F"/>
    <w:rsid w:val="6AF061C5"/>
    <w:rsid w:val="73C35B5A"/>
    <w:rsid w:val="759E753F"/>
    <w:rsid w:val="775E6769"/>
    <w:rsid w:val="7D382B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黑体"/>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Calibri Light" w:hAnsi="Calibri Light"/>
      <w:b/>
      <w:bCs/>
      <w:sz w:val="32"/>
      <w:szCs w:val="32"/>
    </w:rPr>
  </w:style>
  <w:style w:type="character" w:default="1" w:styleId="9">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4">
    <w:name w:val="toc 3"/>
    <w:basedOn w:val="1"/>
    <w:next w:val="1"/>
    <w:qFormat/>
    <w:uiPriority w:val="0"/>
    <w:pPr>
      <w:ind w:left="840" w:leftChars="400"/>
    </w:p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qFormat/>
    <w:uiPriority w:val="0"/>
  </w:style>
  <w:style w:type="paragraph" w:styleId="8">
    <w:name w:val="toc 2"/>
    <w:basedOn w:val="1"/>
    <w:next w:val="1"/>
    <w:qFormat/>
    <w:uiPriority w:val="0"/>
    <w:pPr>
      <w:ind w:left="420" w:leftChars="200"/>
    </w:pPr>
  </w:style>
  <w:style w:type="character" w:styleId="10">
    <w:name w:val="Hyperlink"/>
    <w:basedOn w:val="9"/>
    <w:qFormat/>
    <w:uiPriority w:val="0"/>
    <w:rPr>
      <w:color w:val="0563C1"/>
      <w:u w:val="single"/>
    </w:rPr>
  </w:style>
  <w:style w:type="paragraph" w:customStyle="1" w:styleId="12">
    <w:name w:val="表格文本"/>
    <w:basedOn w:val="1"/>
    <w:qFormat/>
    <w:uiPriority w:val="0"/>
    <w:pPr>
      <w:keepNext/>
      <w:tabs>
        <w:tab w:val="decimal" w:pos="0"/>
      </w:tabs>
      <w:autoSpaceDE w:val="0"/>
      <w:autoSpaceDN w:val="0"/>
      <w:adjustRightInd w:val="0"/>
      <w:jc w:val="left"/>
    </w:pPr>
    <w:rPr>
      <w:rFonts w:ascii="Arial" w:hAnsi="Arial" w:cs="Times New Roman"/>
      <w:kern w:val="0"/>
      <w:szCs w:val="21"/>
    </w:rPr>
  </w:style>
  <w:style w:type="paragraph" w:customStyle="1" w:styleId="13">
    <w:name w:val="TOC 标题1"/>
    <w:basedOn w:val="2"/>
    <w:next w:val="1"/>
    <w:qFormat/>
    <w:uiPriority w:val="0"/>
    <w:pPr>
      <w:widowControl/>
      <w:spacing w:before="240" w:after="0" w:line="259" w:lineRule="auto"/>
      <w:jc w:val="left"/>
      <w:outlineLvl w:val="9"/>
    </w:pPr>
    <w:rPr>
      <w:rFonts w:ascii="Calibri Light" w:hAnsi="Calibri Light"/>
      <w:b w:val="0"/>
      <w:bCs w:val="0"/>
      <w:color w:val="2D73B3"/>
      <w:kern w:val="0"/>
      <w:sz w:val="32"/>
      <w:szCs w:val="32"/>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2017-06-20T02:59:17Z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