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C6AD" w14:textId="4464825D" w:rsidR="00CB73B2" w:rsidRPr="00CB73B2" w:rsidRDefault="00CB73B2">
      <w:pPr>
        <w:rPr>
          <w:lang w:val="es-PE"/>
        </w:rPr>
      </w:pPr>
      <w:r>
        <w:rPr>
          <w:lang w:val="es-PE"/>
        </w:rPr>
        <w:t>El objetivo principal es la gestión y control de cuentas corrientes y reporterias</w:t>
      </w:r>
    </w:p>
    <w:sectPr w:rsidR="00CB73B2" w:rsidRPr="00CB7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11"/>
    <w:rsid w:val="00105311"/>
    <w:rsid w:val="005D3818"/>
    <w:rsid w:val="00C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8696F"/>
  <w15:chartTrackingRefBased/>
  <w15:docId w15:val="{32AB7EBF-1D71-495A-877E-1EE5B577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handblack</dc:creator>
  <cp:keywords/>
  <dc:description/>
  <cp:lastModifiedBy>handblack</cp:lastModifiedBy>
  <cp:revision>2</cp:revision>
  <dcterms:created xsi:type="dcterms:W3CDTF">2022-06-18T14:20:00Z</dcterms:created>
  <dcterms:modified xsi:type="dcterms:W3CDTF">2022-06-18T14:21:00Z</dcterms:modified>
</cp:coreProperties>
</file>