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75E" w:rsidRDefault="002D075E" w:rsidP="002D075E">
      <w:pPr>
        <w:pStyle w:val="AODocTxt"/>
        <w:jc w:val="center"/>
        <w:rPr>
          <w:b/>
        </w:rPr>
      </w:pPr>
      <w:r>
        <w:rPr>
          <w:b/>
        </w:rPr>
        <w:t>AMENDMENT AGREEMENT</w:t>
      </w:r>
    </w:p>
    <w:p w:rsidR="002D075E" w:rsidRDefault="002D075E" w:rsidP="002D075E">
      <w:pPr>
        <w:pStyle w:val="AODocTxt"/>
        <w:jc w:val="center"/>
        <w:rPr>
          <w:b/>
          <w:highlight w:val="yellow"/>
        </w:rPr>
      </w:pPr>
      <w:r>
        <w:rPr>
          <w:b/>
        </w:rPr>
        <w:t>dated September 20, 2013</w:t>
      </w:r>
    </w:p>
    <w:p w:rsidR="002D075E" w:rsidRDefault="002D075E" w:rsidP="002D075E">
      <w:pPr>
        <w:pStyle w:val="AODocTxt"/>
        <w:jc w:val="center"/>
        <w:rPr>
          <w:b/>
        </w:rPr>
      </w:pPr>
      <w:r>
        <w:rPr>
          <w:b/>
        </w:rPr>
        <w:t>to the</w:t>
      </w:r>
    </w:p>
    <w:p w:rsidR="002D075E" w:rsidRDefault="002D075E" w:rsidP="002D075E">
      <w:pPr>
        <w:pStyle w:val="AODocTxt"/>
        <w:jc w:val="center"/>
        <w:rPr>
          <w:b/>
        </w:rPr>
      </w:pPr>
      <w:r>
        <w:rPr>
          <w:b/>
        </w:rPr>
        <w:t>ISDA Master Agreement</w:t>
      </w:r>
    </w:p>
    <w:p w:rsidR="002D075E" w:rsidRDefault="002D075E" w:rsidP="002D075E">
      <w:pPr>
        <w:pStyle w:val="AODocTxt"/>
        <w:numPr>
          <w:ilvl w:val="0"/>
          <w:numId w:val="0"/>
        </w:numPr>
        <w:jc w:val="center"/>
        <w:rPr>
          <w:b/>
        </w:rPr>
      </w:pPr>
      <w:proofErr w:type="gramStart"/>
      <w:r>
        <w:rPr>
          <w:b/>
        </w:rPr>
        <w:t>dated</w:t>
      </w:r>
      <w:proofErr w:type="gramEnd"/>
      <w:r>
        <w:rPr>
          <w:b/>
        </w:rPr>
        <w:t xml:space="preserve"> as of </w:t>
      </w:r>
      <w:r>
        <w:rPr>
          <w:b/>
        </w:rPr>
        <w:br/>
      </w:r>
    </w:p>
    <w:p w:rsidR="002D075E" w:rsidRDefault="002D075E" w:rsidP="002D075E">
      <w:pPr>
        <w:pStyle w:val="AODocTxt"/>
        <w:numPr>
          <w:ilvl w:val="0"/>
          <w:numId w:val="0"/>
        </w:numPr>
        <w:jc w:val="center"/>
        <w:rPr>
          <w:b/>
        </w:rPr>
      </w:pPr>
      <w:r>
        <w:rPr>
          <w:b/>
        </w:rPr>
        <w:t>January 15, 2009</w:t>
      </w:r>
    </w:p>
    <w:p w:rsidR="002D075E" w:rsidRDefault="002D075E" w:rsidP="002D075E">
      <w:pPr>
        <w:pStyle w:val="AODocTxt"/>
        <w:numPr>
          <w:ilvl w:val="0"/>
          <w:numId w:val="0"/>
        </w:numPr>
        <w:jc w:val="center"/>
        <w:rPr>
          <w:b/>
        </w:rPr>
      </w:pPr>
    </w:p>
    <w:p w:rsidR="002D075E" w:rsidRDefault="002D075E" w:rsidP="002D075E">
      <w:pPr>
        <w:pStyle w:val="AODocTxt"/>
        <w:numPr>
          <w:ilvl w:val="0"/>
          <w:numId w:val="0"/>
        </w:numPr>
        <w:jc w:val="center"/>
        <w:rPr>
          <w:b/>
        </w:rPr>
      </w:pPr>
      <w:proofErr w:type="gramStart"/>
      <w:r>
        <w:rPr>
          <w:b/>
        </w:rPr>
        <w:t>between</w:t>
      </w:r>
      <w:proofErr w:type="gramEnd"/>
    </w:p>
    <w:p w:rsidR="002D075E" w:rsidRDefault="002D075E" w:rsidP="002D075E">
      <w:pPr>
        <w:pStyle w:val="AODocTxt"/>
        <w:numPr>
          <w:ilvl w:val="0"/>
          <w:numId w:val="0"/>
        </w:numPr>
        <w:jc w:val="center"/>
        <w:rPr>
          <w:b/>
        </w:rPr>
      </w:pPr>
      <w:r>
        <w:rPr>
          <w:b/>
        </w:rPr>
        <w:t>Party A</w:t>
      </w:r>
    </w:p>
    <w:p w:rsidR="002D075E" w:rsidRDefault="002D075E" w:rsidP="002D075E">
      <w:pPr>
        <w:pStyle w:val="AODocTxt"/>
        <w:numPr>
          <w:ilvl w:val="0"/>
          <w:numId w:val="0"/>
        </w:numPr>
        <w:jc w:val="center"/>
        <w:rPr>
          <w:b/>
          <w:lang w:val="de-DE"/>
        </w:rPr>
      </w:pPr>
      <w:r>
        <w:rPr>
          <w:b/>
          <w:lang w:val="de-DE"/>
        </w:rPr>
        <w:t>and</w:t>
      </w:r>
    </w:p>
    <w:p w:rsidR="002D075E" w:rsidRDefault="002D075E" w:rsidP="002D075E">
      <w:pPr>
        <w:pStyle w:val="AODocTxt"/>
        <w:numPr>
          <w:ilvl w:val="0"/>
          <w:numId w:val="0"/>
        </w:numPr>
        <w:jc w:val="center"/>
        <w:rPr>
          <w:b/>
          <w:lang w:val="de-DE"/>
        </w:rPr>
      </w:pPr>
      <w:r>
        <w:rPr>
          <w:b/>
          <w:lang w:val="de-DE"/>
        </w:rPr>
        <w:t>Party B</w:t>
      </w:r>
      <w:r>
        <w:rPr>
          <w:b/>
          <w:lang w:val="de-DE"/>
        </w:rPr>
        <w:br/>
      </w:r>
    </w:p>
    <w:p w:rsidR="002D075E" w:rsidRDefault="002D075E" w:rsidP="002D075E">
      <w:pPr>
        <w:pStyle w:val="AODocTxt"/>
        <w:numPr>
          <w:ilvl w:val="0"/>
          <w:numId w:val="0"/>
        </w:numPr>
        <w:rPr>
          <w:lang w:val="de-DE"/>
        </w:rPr>
      </w:pPr>
    </w:p>
    <w:p w:rsidR="002D075E" w:rsidRDefault="002D075E" w:rsidP="002D075E">
      <w:pPr>
        <w:pStyle w:val="AODocTxt"/>
        <w:numPr>
          <w:ilvl w:val="0"/>
          <w:numId w:val="0"/>
        </w:numPr>
        <w:rPr>
          <w:b/>
        </w:rPr>
      </w:pPr>
      <w:r>
        <w:rPr>
          <w:b/>
        </w:rPr>
        <w:t>WHEREAS:</w:t>
      </w:r>
    </w:p>
    <w:p w:rsidR="002D075E" w:rsidRDefault="002D075E" w:rsidP="002D075E">
      <w:pPr>
        <w:pStyle w:val="AODocTxt"/>
        <w:numPr>
          <w:ilvl w:val="0"/>
          <w:numId w:val="0"/>
        </w:numPr>
      </w:pPr>
      <w:r>
        <w:t>The parties have entered into an ISDA Master Agreement and Schedule thereto dated as of</w:t>
      </w:r>
      <w:r>
        <w:rPr>
          <w:bCs/>
        </w:rPr>
        <w:t xml:space="preserve"> January 15, 2009 </w:t>
      </w:r>
      <w:r>
        <w:t>as amended and supplemented from time to time (the "</w:t>
      </w:r>
      <w:r>
        <w:rPr>
          <w:b/>
        </w:rPr>
        <w:t>Agreement</w:t>
      </w:r>
      <w:r>
        <w:t>").</w:t>
      </w:r>
    </w:p>
    <w:p w:rsidR="002D075E" w:rsidRDefault="002D075E" w:rsidP="002D075E">
      <w:pPr>
        <w:pStyle w:val="AODocTxt"/>
        <w:numPr>
          <w:ilvl w:val="0"/>
          <w:numId w:val="0"/>
        </w:numPr>
      </w:pPr>
      <w:r>
        <w:t>The parties have now agreed, by this amendment agreement (the "</w:t>
      </w:r>
      <w:r>
        <w:rPr>
          <w:b/>
          <w:bCs/>
        </w:rPr>
        <w:t>Amendment Agreement</w:t>
      </w:r>
      <w:r>
        <w:t xml:space="preserve">"), to annex to the Schedule to the Agreement </w:t>
      </w:r>
      <w:r>
        <w:rPr>
          <w:lang w:eastAsia="zh-CN"/>
        </w:rPr>
        <w:t>a Standard Credit Support Annex on the terms set out below</w:t>
      </w:r>
      <w:r>
        <w:t>.</w:t>
      </w:r>
    </w:p>
    <w:p w:rsidR="002D075E" w:rsidRDefault="002D075E" w:rsidP="002D075E">
      <w:pPr>
        <w:pStyle w:val="AOAltHead1"/>
        <w:rPr>
          <w:b/>
        </w:rPr>
      </w:pPr>
      <w:r>
        <w:rPr>
          <w:b/>
        </w:rPr>
        <w:t>Constitution of the Standard Credit Support Annex</w:t>
      </w:r>
    </w:p>
    <w:p w:rsidR="002D075E" w:rsidRDefault="002D075E" w:rsidP="002D075E">
      <w:pPr>
        <w:pStyle w:val="AOA"/>
        <w:keepNext/>
        <w:keepLines/>
        <w:tabs>
          <w:tab w:val="left" w:pos="720"/>
        </w:tabs>
      </w:pPr>
      <w:r>
        <w:t>The parties agree that the Schedule to the Agreement shall be amended by annexing thereto an additional Credit Support Annex in the form attached in the Appendix hereto (the "</w:t>
      </w:r>
      <w:r>
        <w:rPr>
          <w:b/>
        </w:rPr>
        <w:t>Standard Credit Support Annex</w:t>
      </w:r>
      <w:r>
        <w:t>").</w:t>
      </w:r>
    </w:p>
    <w:p w:rsidR="002D075E" w:rsidRDefault="002D075E" w:rsidP="002D075E">
      <w:pPr>
        <w:pStyle w:val="AOA"/>
        <w:keepNext/>
        <w:keepLines/>
        <w:tabs>
          <w:tab w:val="left" w:pos="720"/>
        </w:tabs>
      </w:pPr>
      <w:r>
        <w:t xml:space="preserve">The parties agree that, for the purposes of the Agreement, the Standard Credit Support Annex will constitute a Credit Support Document with respect to both parties. </w:t>
      </w:r>
    </w:p>
    <w:p w:rsidR="002D075E" w:rsidRDefault="002D075E" w:rsidP="002D075E">
      <w:pPr>
        <w:pStyle w:val="AOAltHead1"/>
        <w:rPr>
          <w:b/>
        </w:rPr>
      </w:pPr>
      <w:r>
        <w:rPr>
          <w:b/>
        </w:rPr>
        <w:t>Representations</w:t>
      </w:r>
    </w:p>
    <w:p w:rsidR="002D075E" w:rsidRDefault="002D075E" w:rsidP="002D075E">
      <w:pPr>
        <w:pStyle w:val="AODocTxtL1"/>
      </w:pPr>
      <w:r>
        <w:t>This Amendment Agreement constitutes the entire agreement and understanding of the parties with respect to its subject matter and supersedes all oral communications and prior writings with respect hereto.</w:t>
      </w:r>
    </w:p>
    <w:p w:rsidR="002D075E" w:rsidRDefault="002D075E" w:rsidP="002D075E">
      <w:pPr>
        <w:pStyle w:val="AOAltHead1"/>
        <w:keepNext/>
        <w:keepLines/>
        <w:rPr>
          <w:b/>
        </w:rPr>
      </w:pPr>
      <w:r>
        <w:rPr>
          <w:b/>
        </w:rPr>
        <w:lastRenderedPageBreak/>
        <w:t>Miscellaneous</w:t>
      </w:r>
    </w:p>
    <w:p w:rsidR="002D075E" w:rsidRDefault="002D075E" w:rsidP="002D075E">
      <w:pPr>
        <w:pStyle w:val="AOA"/>
        <w:keepNext/>
        <w:keepLines/>
      </w:pPr>
      <w:r>
        <w:t>All capitalised terms in this Amendment Agreement shall have the same meaning ascribed to them in the Agreement.</w:t>
      </w:r>
    </w:p>
    <w:p w:rsidR="002D075E" w:rsidRDefault="002D075E" w:rsidP="002D075E">
      <w:pPr>
        <w:pStyle w:val="AOA"/>
      </w:pPr>
      <w:r>
        <w:t>The Agreement, as modified herein, shall continue in full force and effect and nothing construed herein shall constitute a waiver or modification of the existing rights under the Agreement except as expressly provided herein.</w:t>
      </w:r>
    </w:p>
    <w:p w:rsidR="002D075E" w:rsidRDefault="002D075E" w:rsidP="002D075E">
      <w:pPr>
        <w:pStyle w:val="AOA"/>
      </w:pPr>
      <w:r>
        <w:t>All references to the Agreement shall be deemed references to the Agreement as amended hereby.</w:t>
      </w:r>
    </w:p>
    <w:p w:rsidR="002D075E" w:rsidRDefault="002D075E" w:rsidP="002D075E">
      <w:pPr>
        <w:pStyle w:val="AOA"/>
      </w:pPr>
      <w:r>
        <w:t>The headings used in this Amendment Agreement are for convenience of reference only and are not to affect the construction of, or to be taken into consideration in interpreting, this Amendment Agreement.</w:t>
      </w:r>
    </w:p>
    <w:p w:rsidR="002D075E" w:rsidRDefault="002D075E" w:rsidP="002D075E">
      <w:pPr>
        <w:pStyle w:val="AOA"/>
      </w:pPr>
      <w:r>
        <w:t>This Amendment Agreement may be executed and delivered in counterparts, each of which will be deemed an original.</w:t>
      </w:r>
    </w:p>
    <w:p w:rsidR="002D075E" w:rsidRDefault="002D075E" w:rsidP="002D075E">
      <w:pPr>
        <w:pStyle w:val="AOA"/>
      </w:pPr>
      <w:r>
        <w:t>A person who is not a party to this Amendment Agreement has no right under the Contracts (Rights of Third Parties) Act 1999 to enforce any term of this Amendment Agreement.</w:t>
      </w:r>
    </w:p>
    <w:p w:rsidR="002D075E" w:rsidRDefault="002D075E" w:rsidP="002D075E">
      <w:pPr>
        <w:pStyle w:val="AOA"/>
      </w:pPr>
      <w:r>
        <w:t>This Amendment Agreement will be governed by and construed in accordance with the laws of the State of New York and the provisions of Section 13(b) to (and including) Section 13(d) of the Agreement shall apply to this Amendment Agreement as if the same were set out and repeated in full in this clause and were incorporated by reference in, and formed part of, this Amendment Agreement.</w:t>
      </w:r>
    </w:p>
    <w:p w:rsidR="002D075E" w:rsidRDefault="002D075E" w:rsidP="002D075E">
      <w:pPr>
        <w:pStyle w:val="AODocTxt"/>
        <w:numPr>
          <w:ilvl w:val="0"/>
          <w:numId w:val="0"/>
        </w:numPr>
      </w:pPr>
    </w:p>
    <w:p w:rsidR="002D075E" w:rsidRPr="002D075E" w:rsidRDefault="002D075E" w:rsidP="002D075E">
      <w:pPr>
        <w:pStyle w:val="AODocTxt"/>
      </w:pPr>
    </w:p>
    <w:p w:rsidR="002D075E" w:rsidRPr="002D075E" w:rsidRDefault="002D075E" w:rsidP="002D075E">
      <w:pPr>
        <w:pStyle w:val="AODocTxt"/>
      </w:pPr>
    </w:p>
    <w:p w:rsidR="002D075E" w:rsidRPr="002D075E" w:rsidRDefault="002D075E" w:rsidP="002D075E">
      <w:pPr>
        <w:pStyle w:val="AODocTxt"/>
      </w:pPr>
    </w:p>
    <w:p w:rsidR="002D075E" w:rsidRPr="002D075E" w:rsidRDefault="002D075E" w:rsidP="002D075E">
      <w:pPr>
        <w:pStyle w:val="AODocTxt"/>
      </w:pPr>
    </w:p>
    <w:p w:rsidR="002D075E" w:rsidRDefault="002D075E" w:rsidP="002D075E">
      <w:pPr>
        <w:pStyle w:val="AODocTxt"/>
      </w:pPr>
      <w:r>
        <w:rPr>
          <w:b/>
        </w:rPr>
        <w:t>IN WITNESS WHEREOF</w:t>
      </w:r>
      <w:r>
        <w:t>, the parties have executed this Amendment Agreement as of the date specified on the first page of this Amendment Agreement.</w:t>
      </w:r>
    </w:p>
    <w:p w:rsidR="002D075E" w:rsidRDefault="002D075E" w:rsidP="002D075E">
      <w:pPr>
        <w:pStyle w:val="AODocTxt"/>
      </w:pPr>
    </w:p>
    <w:tbl>
      <w:tblPr>
        <w:tblW w:w="5023" w:type="pct"/>
        <w:tblLook w:val="01E0" w:firstRow="1" w:lastRow="1" w:firstColumn="1" w:lastColumn="1" w:noHBand="0" w:noVBand="0"/>
      </w:tblPr>
      <w:tblGrid>
        <w:gridCol w:w="4922"/>
        <w:gridCol w:w="4698"/>
      </w:tblGrid>
      <w:tr w:rsidR="002D075E" w:rsidTr="002D075E">
        <w:trPr>
          <w:trHeight w:val="773"/>
        </w:trPr>
        <w:tc>
          <w:tcPr>
            <w:tcW w:w="2558" w:type="pct"/>
            <w:hideMark/>
          </w:tcPr>
          <w:p w:rsidR="002D075E" w:rsidRDefault="002D075E">
            <w:pPr>
              <w:pStyle w:val="AODocTxt"/>
              <w:numPr>
                <w:ilvl w:val="0"/>
                <w:numId w:val="0"/>
              </w:numPr>
              <w:jc w:val="left"/>
              <w:rPr>
                <w:b/>
              </w:rPr>
            </w:pPr>
            <w:r>
              <w:rPr>
                <w:b/>
              </w:rPr>
              <w:br/>
            </w:r>
          </w:p>
        </w:tc>
        <w:tc>
          <w:tcPr>
            <w:tcW w:w="2442" w:type="pct"/>
          </w:tcPr>
          <w:p w:rsidR="002D075E" w:rsidRDefault="002D075E">
            <w:pPr>
              <w:pStyle w:val="AODocTxt"/>
              <w:numPr>
                <w:ilvl w:val="0"/>
                <w:numId w:val="0"/>
              </w:numPr>
              <w:jc w:val="left"/>
              <w:rPr>
                <w:b/>
              </w:rPr>
            </w:pPr>
          </w:p>
        </w:tc>
      </w:tr>
      <w:tr w:rsidR="002D075E" w:rsidTr="002D075E">
        <w:trPr>
          <w:trHeight w:val="622"/>
        </w:trPr>
        <w:tc>
          <w:tcPr>
            <w:tcW w:w="2558" w:type="pct"/>
          </w:tcPr>
          <w:p w:rsidR="002D075E" w:rsidRDefault="002D075E">
            <w:pPr>
              <w:pStyle w:val="AODocTxt"/>
              <w:numPr>
                <w:ilvl w:val="0"/>
                <w:numId w:val="0"/>
              </w:numPr>
              <w:spacing w:before="360"/>
            </w:pPr>
          </w:p>
        </w:tc>
        <w:tc>
          <w:tcPr>
            <w:tcW w:w="2442" w:type="pct"/>
          </w:tcPr>
          <w:p w:rsidR="002D075E" w:rsidRDefault="002D075E">
            <w:pPr>
              <w:pStyle w:val="AODocTxt"/>
              <w:numPr>
                <w:ilvl w:val="0"/>
                <w:numId w:val="0"/>
              </w:numPr>
            </w:pPr>
          </w:p>
        </w:tc>
      </w:tr>
      <w:tr w:rsidR="002D075E" w:rsidTr="002D075E">
        <w:trPr>
          <w:trHeight w:val="1031"/>
        </w:trPr>
        <w:tc>
          <w:tcPr>
            <w:tcW w:w="2558" w:type="pct"/>
            <w:hideMark/>
          </w:tcPr>
          <w:p w:rsidR="002D075E" w:rsidRDefault="002D075E">
            <w:pPr>
              <w:pStyle w:val="AODocTxt"/>
              <w:numPr>
                <w:ilvl w:val="0"/>
                <w:numId w:val="0"/>
              </w:numPr>
              <w:spacing w:after="240"/>
            </w:pPr>
            <w:r>
              <w:t>Name:</w:t>
            </w:r>
            <w:r>
              <w:br/>
              <w:t>Title:</w:t>
            </w:r>
          </w:p>
        </w:tc>
        <w:tc>
          <w:tcPr>
            <w:tcW w:w="2442" w:type="pct"/>
            <w:hideMark/>
          </w:tcPr>
          <w:p w:rsidR="002D075E" w:rsidRDefault="002D075E">
            <w:pPr>
              <w:pStyle w:val="AODocTxt"/>
              <w:numPr>
                <w:ilvl w:val="0"/>
                <w:numId w:val="0"/>
              </w:numPr>
            </w:pPr>
            <w:r>
              <w:t>Name:</w:t>
            </w:r>
            <w:r>
              <w:br/>
              <w:t>Title:</w:t>
            </w:r>
            <w:r>
              <w:br/>
            </w:r>
          </w:p>
        </w:tc>
      </w:tr>
    </w:tbl>
    <w:p w:rsidR="009E30EE" w:rsidRDefault="00895485" w:rsidP="002D075E">
      <w:pPr>
        <w:pStyle w:val="Heading1"/>
        <w:pageBreakBefore/>
        <w:numPr>
          <w:ilvl w:val="0"/>
          <w:numId w:val="0"/>
        </w:numPr>
        <w:tabs>
          <w:tab w:val="left" w:pos="720"/>
        </w:tabs>
      </w:pPr>
      <w:proofErr w:type="gramStart"/>
      <w:r>
        <w:lastRenderedPageBreak/>
        <w:t>Paragraph 13.</w:t>
      </w:r>
      <w:proofErr w:type="gramEnd"/>
      <w:r>
        <w:t xml:space="preserve">    </w:t>
      </w:r>
      <w:r w:rsidR="002D075E">
        <w:t>E</w:t>
      </w:r>
      <w:r w:rsidR="009E30EE">
        <w:t>lections and Variables</w:t>
      </w:r>
    </w:p>
    <w:p w:rsidR="00E64D41" w:rsidRDefault="00E64D41" w:rsidP="009E30EE">
      <w:pPr>
        <w:pStyle w:val="Heading2"/>
        <w:tabs>
          <w:tab w:val="num" w:pos="720"/>
        </w:tabs>
        <w:ind w:left="720" w:hanging="720"/>
      </w:pPr>
    </w:p>
    <w:p w:rsidR="009E30EE" w:rsidRDefault="00E64D41" w:rsidP="009E30EE">
      <w:pPr>
        <w:pStyle w:val="Heading2"/>
        <w:tabs>
          <w:tab w:val="num" w:pos="720"/>
        </w:tabs>
        <w:ind w:left="720" w:hanging="720"/>
      </w:pPr>
      <w:bookmarkStart w:id="0" w:name="_GoBack"/>
      <w:bookmarkEnd w:id="0"/>
      <w:r>
        <w:t xml:space="preserve"> </w:t>
      </w:r>
      <w:r w:rsidR="009E30EE">
        <w:t>(b)</w:t>
      </w:r>
      <w:r w:rsidR="009E30EE">
        <w:rPr>
          <w:b/>
          <w:i/>
        </w:rPr>
        <w:tab/>
        <w:t>IA Eligible Collateral.</w:t>
      </w:r>
      <w:r w:rsidR="009E30EE">
        <w:t xml:space="preserve">  The following items will qualify as "</w:t>
      </w:r>
      <w:r w:rsidR="009E30EE">
        <w:rPr>
          <w:b/>
        </w:rPr>
        <w:t>IA Eligible Collateral</w:t>
      </w:r>
      <w:r w:rsidR="009E30EE">
        <w:t>" for the party specified:</w:t>
      </w:r>
    </w:p>
    <w:p w:rsidR="009E30EE" w:rsidRDefault="009E30EE" w:rsidP="009E30EE">
      <w:pPr>
        <w:tabs>
          <w:tab w:val="left" w:pos="-720"/>
          <w:tab w:val="left" w:pos="0"/>
          <w:tab w:val="left" w:pos="720"/>
        </w:tabs>
        <w:suppressAutoHyphens/>
        <w:ind w:left="1440" w:hanging="720"/>
        <w:jc w:val="both"/>
        <w:rPr>
          <w:spacing w:val="-3"/>
          <w:sz w:val="20"/>
          <w:szCs w:val="20"/>
        </w:rPr>
      </w:pPr>
    </w:p>
    <w:p w:rsidR="009E30EE" w:rsidRDefault="009E30EE" w:rsidP="009E30EE">
      <w:pPr>
        <w:tabs>
          <w:tab w:val="left" w:pos="-720"/>
          <w:tab w:val="left" w:pos="0"/>
          <w:tab w:val="left" w:pos="720"/>
        </w:tabs>
        <w:suppressAutoHyphens/>
        <w:ind w:left="1440" w:hanging="720"/>
        <w:jc w:val="both"/>
        <w:rPr>
          <w:spacing w:val="-3"/>
          <w:sz w:val="20"/>
          <w:szCs w:val="20"/>
        </w:rPr>
      </w:pPr>
    </w:p>
    <w:tbl>
      <w:tblPr>
        <w:tblW w:w="8907" w:type="dxa"/>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4140"/>
        <w:gridCol w:w="1170"/>
        <w:gridCol w:w="1710"/>
        <w:gridCol w:w="1257"/>
      </w:tblGrid>
      <w:tr w:rsidR="009E30EE" w:rsidTr="009E30EE">
        <w:tc>
          <w:tcPr>
            <w:tcW w:w="630" w:type="dxa"/>
            <w:tcBorders>
              <w:top w:val="single" w:sz="4" w:space="0" w:color="auto"/>
              <w:left w:val="single" w:sz="4" w:space="0" w:color="auto"/>
              <w:bottom w:val="single" w:sz="4" w:space="0" w:color="auto"/>
              <w:right w:val="single" w:sz="4" w:space="0" w:color="auto"/>
            </w:tcBorders>
          </w:tcPr>
          <w:p w:rsidR="009E30EE" w:rsidRDefault="009E30EE">
            <w:pPr>
              <w:jc w:val="both"/>
              <w:rPr>
                <w:sz w:val="20"/>
                <w:szCs w:val="20"/>
                <w:lang w:val="en-GB"/>
              </w:rPr>
            </w:pPr>
          </w:p>
        </w:tc>
        <w:tc>
          <w:tcPr>
            <w:tcW w:w="4140" w:type="dxa"/>
            <w:tcBorders>
              <w:top w:val="single" w:sz="4" w:space="0" w:color="auto"/>
              <w:left w:val="single" w:sz="4" w:space="0" w:color="auto"/>
              <w:bottom w:val="single" w:sz="4" w:space="0" w:color="auto"/>
              <w:right w:val="single" w:sz="4" w:space="0" w:color="auto"/>
            </w:tcBorders>
          </w:tcPr>
          <w:p w:rsidR="009E30EE" w:rsidRDefault="009E30EE">
            <w:pPr>
              <w:jc w:val="both"/>
              <w:rPr>
                <w:b/>
                <w:i/>
                <w:sz w:val="20"/>
                <w:szCs w:val="20"/>
                <w:lang w:val="en-GB"/>
              </w:rPr>
            </w:pPr>
          </w:p>
        </w:tc>
        <w:tc>
          <w:tcPr>
            <w:tcW w:w="1170" w:type="dxa"/>
            <w:tcBorders>
              <w:top w:val="single" w:sz="4" w:space="0" w:color="auto"/>
              <w:left w:val="single" w:sz="4" w:space="0" w:color="auto"/>
              <w:bottom w:val="single" w:sz="4" w:space="0" w:color="auto"/>
              <w:right w:val="single" w:sz="4" w:space="0" w:color="auto"/>
            </w:tcBorders>
            <w:hideMark/>
          </w:tcPr>
          <w:p w:rsidR="009E30EE" w:rsidRDefault="009E30EE">
            <w:pPr>
              <w:jc w:val="both"/>
              <w:rPr>
                <w:b/>
                <w:bCs/>
                <w:i/>
                <w:iCs/>
                <w:sz w:val="20"/>
                <w:szCs w:val="20"/>
                <w:lang w:val="en-GB"/>
              </w:rPr>
            </w:pPr>
            <w:r>
              <w:rPr>
                <w:b/>
                <w:bCs/>
                <w:i/>
                <w:iCs/>
                <w:sz w:val="20"/>
                <w:szCs w:val="20"/>
                <w:lang w:val="en-GB"/>
              </w:rPr>
              <w:t>Party A</w:t>
            </w:r>
          </w:p>
        </w:tc>
        <w:tc>
          <w:tcPr>
            <w:tcW w:w="1710" w:type="dxa"/>
            <w:tcBorders>
              <w:top w:val="single" w:sz="4" w:space="0" w:color="auto"/>
              <w:left w:val="single" w:sz="4" w:space="0" w:color="auto"/>
              <w:bottom w:val="single" w:sz="4" w:space="0" w:color="auto"/>
              <w:right w:val="single" w:sz="4" w:space="0" w:color="auto"/>
            </w:tcBorders>
            <w:hideMark/>
          </w:tcPr>
          <w:p w:rsidR="009E30EE" w:rsidRDefault="009E30EE">
            <w:pPr>
              <w:jc w:val="both"/>
              <w:rPr>
                <w:b/>
                <w:bCs/>
                <w:i/>
                <w:iCs/>
                <w:sz w:val="20"/>
                <w:szCs w:val="20"/>
                <w:lang w:val="en-GB"/>
              </w:rPr>
            </w:pPr>
            <w:r>
              <w:rPr>
                <w:b/>
                <w:bCs/>
                <w:i/>
                <w:iCs/>
                <w:sz w:val="20"/>
                <w:szCs w:val="20"/>
                <w:lang w:val="en-GB"/>
              </w:rPr>
              <w:t>Party B</w:t>
            </w:r>
          </w:p>
        </w:tc>
        <w:tc>
          <w:tcPr>
            <w:tcW w:w="1257" w:type="dxa"/>
            <w:tcBorders>
              <w:top w:val="single" w:sz="4" w:space="0" w:color="auto"/>
              <w:left w:val="single" w:sz="4" w:space="0" w:color="auto"/>
              <w:bottom w:val="single" w:sz="4" w:space="0" w:color="auto"/>
              <w:right w:val="single" w:sz="4" w:space="0" w:color="auto"/>
            </w:tcBorders>
            <w:hideMark/>
          </w:tcPr>
          <w:p w:rsidR="009E30EE" w:rsidRDefault="009E30EE">
            <w:pPr>
              <w:jc w:val="both"/>
              <w:rPr>
                <w:b/>
                <w:bCs/>
                <w:i/>
                <w:iCs/>
                <w:sz w:val="20"/>
                <w:szCs w:val="20"/>
                <w:lang w:val="en-GB"/>
              </w:rPr>
            </w:pPr>
            <w:r>
              <w:rPr>
                <w:b/>
                <w:bCs/>
                <w:i/>
                <w:iCs/>
                <w:sz w:val="20"/>
                <w:szCs w:val="20"/>
                <w:lang w:val="en-GB"/>
              </w:rPr>
              <w:t>Valuation</w:t>
            </w:r>
          </w:p>
          <w:p w:rsidR="009E30EE" w:rsidRDefault="009E30EE">
            <w:pPr>
              <w:jc w:val="both"/>
              <w:rPr>
                <w:sz w:val="20"/>
                <w:szCs w:val="20"/>
                <w:lang w:val="en-GB"/>
              </w:rPr>
            </w:pPr>
            <w:r>
              <w:rPr>
                <w:b/>
                <w:bCs/>
                <w:i/>
                <w:iCs/>
                <w:sz w:val="20"/>
                <w:szCs w:val="20"/>
                <w:lang w:val="en-GB"/>
              </w:rPr>
              <w:t>Percentage</w:t>
            </w:r>
          </w:p>
        </w:tc>
      </w:tr>
      <w:tr w:rsidR="009E30EE" w:rsidTr="009E30EE">
        <w:tc>
          <w:tcPr>
            <w:tcW w:w="630" w:type="dxa"/>
            <w:tcBorders>
              <w:top w:val="single" w:sz="4" w:space="0" w:color="auto"/>
              <w:left w:val="single" w:sz="4" w:space="0" w:color="auto"/>
              <w:bottom w:val="single" w:sz="4" w:space="0" w:color="auto"/>
              <w:right w:val="single" w:sz="4" w:space="0" w:color="auto"/>
            </w:tcBorders>
            <w:hideMark/>
          </w:tcPr>
          <w:p w:rsidR="009E30EE" w:rsidRDefault="009E30EE">
            <w:pPr>
              <w:jc w:val="both"/>
              <w:rPr>
                <w:bCs/>
                <w:sz w:val="20"/>
                <w:szCs w:val="20"/>
                <w:lang w:val="en-GB"/>
              </w:rPr>
            </w:pPr>
            <w:r>
              <w:rPr>
                <w:bCs/>
                <w:sz w:val="20"/>
                <w:szCs w:val="20"/>
                <w:lang w:val="en-GB"/>
              </w:rPr>
              <w:t>(A)</w:t>
            </w:r>
          </w:p>
        </w:tc>
        <w:tc>
          <w:tcPr>
            <w:tcW w:w="4140" w:type="dxa"/>
            <w:tcBorders>
              <w:top w:val="single" w:sz="4" w:space="0" w:color="auto"/>
              <w:left w:val="single" w:sz="4" w:space="0" w:color="auto"/>
              <w:bottom w:val="single" w:sz="4" w:space="0" w:color="auto"/>
              <w:right w:val="single" w:sz="4" w:space="0" w:color="auto"/>
            </w:tcBorders>
            <w:hideMark/>
          </w:tcPr>
          <w:p w:rsidR="009E30EE" w:rsidRDefault="009E30EE">
            <w:pPr>
              <w:jc w:val="both"/>
              <w:rPr>
                <w:sz w:val="20"/>
                <w:szCs w:val="20"/>
                <w:lang w:val="en-GB"/>
              </w:rPr>
            </w:pPr>
            <w:r>
              <w:rPr>
                <w:sz w:val="20"/>
                <w:szCs w:val="20"/>
                <w:lang w:val="en-GB"/>
              </w:rPr>
              <w:t>None, unless specified in Confirmation.</w:t>
            </w:r>
          </w:p>
        </w:tc>
        <w:tc>
          <w:tcPr>
            <w:tcW w:w="1170" w:type="dxa"/>
            <w:tcBorders>
              <w:top w:val="single" w:sz="4" w:space="0" w:color="auto"/>
              <w:left w:val="single" w:sz="4" w:space="0" w:color="auto"/>
              <w:bottom w:val="single" w:sz="4" w:space="0" w:color="auto"/>
              <w:right w:val="single" w:sz="4" w:space="0" w:color="auto"/>
            </w:tcBorders>
          </w:tcPr>
          <w:p w:rsidR="009E30EE" w:rsidRDefault="009E30EE">
            <w:pPr>
              <w:jc w:val="both"/>
              <w:rPr>
                <w:sz w:val="20"/>
                <w:szCs w:val="20"/>
                <w:lang w:val="en-GB"/>
              </w:rPr>
            </w:pPr>
          </w:p>
        </w:tc>
        <w:tc>
          <w:tcPr>
            <w:tcW w:w="1710" w:type="dxa"/>
            <w:tcBorders>
              <w:top w:val="single" w:sz="4" w:space="0" w:color="auto"/>
              <w:left w:val="single" w:sz="4" w:space="0" w:color="auto"/>
              <w:bottom w:val="single" w:sz="4" w:space="0" w:color="auto"/>
              <w:right w:val="single" w:sz="4" w:space="0" w:color="auto"/>
            </w:tcBorders>
          </w:tcPr>
          <w:p w:rsidR="009E30EE" w:rsidRDefault="009E30EE">
            <w:pPr>
              <w:jc w:val="both"/>
              <w:rPr>
                <w:sz w:val="20"/>
                <w:szCs w:val="20"/>
                <w:lang w:val="en-GB"/>
              </w:rPr>
            </w:pPr>
          </w:p>
        </w:tc>
        <w:tc>
          <w:tcPr>
            <w:tcW w:w="1257" w:type="dxa"/>
            <w:tcBorders>
              <w:top w:val="single" w:sz="4" w:space="0" w:color="auto"/>
              <w:left w:val="single" w:sz="4" w:space="0" w:color="auto"/>
              <w:bottom w:val="single" w:sz="4" w:space="0" w:color="auto"/>
              <w:right w:val="single" w:sz="4" w:space="0" w:color="auto"/>
            </w:tcBorders>
          </w:tcPr>
          <w:p w:rsidR="009E30EE" w:rsidRDefault="009E30EE">
            <w:pPr>
              <w:jc w:val="both"/>
              <w:rPr>
                <w:sz w:val="20"/>
                <w:szCs w:val="20"/>
                <w:lang w:val="en-GB"/>
              </w:rPr>
            </w:pPr>
          </w:p>
          <w:p w:rsidR="009E30EE" w:rsidRDefault="009E30EE">
            <w:pPr>
              <w:jc w:val="both"/>
              <w:rPr>
                <w:sz w:val="20"/>
                <w:szCs w:val="20"/>
                <w:lang w:val="en-GB"/>
              </w:rPr>
            </w:pPr>
          </w:p>
        </w:tc>
      </w:tr>
    </w:tbl>
    <w:p w:rsidR="009E30EE" w:rsidRDefault="009E30EE" w:rsidP="009E30EE">
      <w:pPr>
        <w:tabs>
          <w:tab w:val="left" w:pos="-1440"/>
        </w:tabs>
        <w:ind w:left="720"/>
        <w:rPr>
          <w:sz w:val="20"/>
          <w:szCs w:val="20"/>
          <w:lang w:val="en-GB"/>
        </w:rPr>
      </w:pPr>
    </w:p>
    <w:p w:rsidR="009E30EE" w:rsidRDefault="009E30EE" w:rsidP="009E30EE">
      <w:r>
        <w:rPr>
          <w:spacing w:val="-3"/>
          <w:sz w:val="20"/>
          <w:szCs w:val="20"/>
        </w:rPr>
        <w:tab/>
      </w:r>
    </w:p>
    <w:p w:rsidR="009E30EE" w:rsidRDefault="00E64D41" w:rsidP="009E30EE">
      <w:pPr>
        <w:pStyle w:val="Heading2"/>
        <w:tabs>
          <w:tab w:val="num" w:pos="720"/>
        </w:tabs>
        <w:ind w:left="720" w:hanging="720"/>
      </w:pPr>
      <w:r>
        <w:t xml:space="preserve"> </w:t>
      </w:r>
      <w:r w:rsidR="009E30EE">
        <w:t>(d)</w:t>
      </w:r>
      <w:r w:rsidR="009E30EE">
        <w:rPr>
          <w:b/>
          <w:i/>
        </w:rPr>
        <w:tab/>
        <w:t>Independent Amounts</w:t>
      </w:r>
      <w:r w:rsidR="009E30EE">
        <w:t>.</w:t>
      </w:r>
    </w:p>
    <w:tbl>
      <w:tblPr>
        <w:tblW w:w="4150" w:type="pct"/>
        <w:tblInd w:w="1037" w:type="dxa"/>
        <w:tblCellMar>
          <w:left w:w="115" w:type="dxa"/>
          <w:right w:w="115" w:type="dxa"/>
        </w:tblCellMar>
        <w:tblLook w:val="01E0" w:firstRow="1" w:lastRow="1" w:firstColumn="1" w:lastColumn="1" w:noHBand="0" w:noVBand="0"/>
      </w:tblPr>
      <w:tblGrid>
        <w:gridCol w:w="7960"/>
      </w:tblGrid>
      <w:tr w:rsidR="009E30EE" w:rsidTr="009E30EE">
        <w:tc>
          <w:tcPr>
            <w:tcW w:w="5000" w:type="pct"/>
            <w:hideMark/>
          </w:tcPr>
          <w:p w:rsidR="009E30EE" w:rsidRDefault="009E30EE">
            <w:pPr>
              <w:pStyle w:val="BodyText"/>
              <w:tabs>
                <w:tab w:val="right" w:leader="dot" w:pos="7780"/>
              </w:tabs>
            </w:pPr>
            <w:r>
              <w:rPr>
                <w:i/>
              </w:rPr>
              <w:t>"</w:t>
            </w:r>
            <w:r>
              <w:rPr>
                <w:b/>
                <w:i/>
              </w:rPr>
              <w:t>Independent Amount</w:t>
            </w:r>
            <w:r>
              <w:rPr>
                <w:i/>
              </w:rPr>
              <w:t xml:space="preserve">" </w:t>
            </w:r>
            <w:r>
              <w:t>means with respect to Party A: None, unless otherwise specified in a Confirmation.</w:t>
            </w:r>
          </w:p>
        </w:tc>
      </w:tr>
      <w:tr w:rsidR="009E30EE" w:rsidTr="009E30EE">
        <w:tc>
          <w:tcPr>
            <w:tcW w:w="5000" w:type="pct"/>
            <w:hideMark/>
          </w:tcPr>
          <w:p w:rsidR="009E30EE" w:rsidRDefault="009E30EE">
            <w:pPr>
              <w:pStyle w:val="BodyText3"/>
              <w:tabs>
                <w:tab w:val="right" w:leader="dot" w:pos="7780"/>
              </w:tabs>
              <w:rPr>
                <w:b/>
                <w:i/>
              </w:rPr>
            </w:pPr>
            <w:r>
              <w:rPr>
                <w:i/>
              </w:rPr>
              <w:t>"</w:t>
            </w:r>
            <w:r>
              <w:rPr>
                <w:b/>
                <w:i/>
              </w:rPr>
              <w:t>Independent Amount</w:t>
            </w:r>
            <w:r>
              <w:rPr>
                <w:i/>
              </w:rPr>
              <w:t>"</w:t>
            </w:r>
            <w:r>
              <w:rPr>
                <w:b/>
                <w:i/>
              </w:rPr>
              <w:t xml:space="preserve"> </w:t>
            </w:r>
            <w:r>
              <w:t>means with respect to Party B: None, unless otherwise specified in a Confirmation.</w:t>
            </w:r>
          </w:p>
        </w:tc>
      </w:tr>
    </w:tbl>
    <w:p w:rsidR="009E30EE" w:rsidRDefault="009E30EE" w:rsidP="009E30EE">
      <w:pPr>
        <w:pStyle w:val="Heading2"/>
        <w:tabs>
          <w:tab w:val="num" w:pos="720"/>
        </w:tabs>
        <w:ind w:left="720" w:hanging="720"/>
        <w:rPr>
          <w:b/>
          <w:i/>
        </w:rPr>
      </w:pPr>
      <w:r>
        <w:t>(e)</w:t>
      </w:r>
      <w:r>
        <w:rPr>
          <w:b/>
          <w:i/>
        </w:rPr>
        <w:tab/>
        <w:t>Base Currency</w:t>
      </w:r>
      <w:r>
        <w:rPr>
          <w:i/>
        </w:rPr>
        <w:t>.</w:t>
      </w:r>
    </w:p>
    <w:p w:rsidR="009E30EE" w:rsidRDefault="009E30EE" w:rsidP="009E30EE">
      <w:pPr>
        <w:rPr>
          <w:i/>
          <w:sz w:val="20"/>
          <w:szCs w:val="20"/>
        </w:rPr>
      </w:pPr>
    </w:p>
    <w:p w:rsidR="009E30EE" w:rsidRDefault="009E30EE" w:rsidP="009E30EE">
      <w:pPr>
        <w:rPr>
          <w:sz w:val="20"/>
          <w:szCs w:val="20"/>
        </w:rPr>
      </w:pPr>
      <w:r>
        <w:rPr>
          <w:i/>
          <w:sz w:val="20"/>
          <w:szCs w:val="20"/>
        </w:rPr>
        <w:tab/>
        <w:t>"</w:t>
      </w:r>
      <w:r>
        <w:rPr>
          <w:b/>
          <w:i/>
          <w:sz w:val="20"/>
          <w:szCs w:val="20"/>
        </w:rPr>
        <w:t>Base Currency</w:t>
      </w:r>
      <w:r>
        <w:rPr>
          <w:i/>
          <w:sz w:val="20"/>
          <w:szCs w:val="20"/>
        </w:rPr>
        <w:t>"</w:t>
      </w:r>
      <w:r>
        <w:rPr>
          <w:sz w:val="20"/>
          <w:szCs w:val="20"/>
        </w:rPr>
        <w:t xml:space="preserve"> means USD.</w:t>
      </w:r>
    </w:p>
    <w:p w:rsidR="009E30EE" w:rsidRDefault="009E30EE" w:rsidP="009E30EE">
      <w:pPr>
        <w:pStyle w:val="Heading2"/>
        <w:keepNext/>
        <w:tabs>
          <w:tab w:val="num" w:pos="720"/>
        </w:tabs>
        <w:ind w:left="720" w:hanging="720"/>
      </w:pPr>
      <w:r>
        <w:t>(f)</w:t>
      </w:r>
      <w:r>
        <w:rPr>
          <w:b/>
          <w:i/>
        </w:rPr>
        <w:tab/>
        <w:t>Transport Currency</w:t>
      </w:r>
      <w:r>
        <w:rPr>
          <w:i/>
        </w:rPr>
        <w:t>.</w:t>
      </w:r>
    </w:p>
    <w:p w:rsidR="009E30EE" w:rsidRDefault="009E30EE" w:rsidP="009E30EE"/>
    <w:tbl>
      <w:tblPr>
        <w:tblW w:w="4150" w:type="pct"/>
        <w:tblInd w:w="1037" w:type="dxa"/>
        <w:tblCellMar>
          <w:left w:w="115" w:type="dxa"/>
          <w:right w:w="115" w:type="dxa"/>
        </w:tblCellMar>
        <w:tblLook w:val="01E0" w:firstRow="1" w:lastRow="1" w:firstColumn="1" w:lastColumn="1" w:noHBand="0" w:noVBand="0"/>
      </w:tblPr>
      <w:tblGrid>
        <w:gridCol w:w="7960"/>
      </w:tblGrid>
      <w:tr w:rsidR="009E30EE" w:rsidTr="009E30EE">
        <w:tc>
          <w:tcPr>
            <w:tcW w:w="5000" w:type="pct"/>
            <w:hideMark/>
          </w:tcPr>
          <w:p w:rsidR="009E30EE" w:rsidRDefault="009E30EE">
            <w:pPr>
              <w:pStyle w:val="BodyText"/>
              <w:tabs>
                <w:tab w:val="right" w:leader="dot" w:pos="7780"/>
              </w:tabs>
            </w:pPr>
            <w:r>
              <w:rPr>
                <w:i/>
              </w:rPr>
              <w:t>"</w:t>
            </w:r>
            <w:r>
              <w:rPr>
                <w:b/>
                <w:i/>
              </w:rPr>
              <w:t>Transport Currency</w:t>
            </w:r>
            <w:r>
              <w:rPr>
                <w:i/>
              </w:rPr>
              <w:t xml:space="preserve">" </w:t>
            </w:r>
            <w:r>
              <w:t xml:space="preserve">means with respect to Party A: EUR </w:t>
            </w:r>
          </w:p>
        </w:tc>
      </w:tr>
      <w:tr w:rsidR="009E30EE" w:rsidTr="009E30EE">
        <w:tc>
          <w:tcPr>
            <w:tcW w:w="5000" w:type="pct"/>
            <w:hideMark/>
          </w:tcPr>
          <w:p w:rsidR="009E30EE" w:rsidRDefault="009E30EE">
            <w:pPr>
              <w:pStyle w:val="BodyText3"/>
              <w:tabs>
                <w:tab w:val="right" w:leader="dot" w:pos="7780"/>
              </w:tabs>
              <w:rPr>
                <w:b/>
                <w:i/>
              </w:rPr>
            </w:pPr>
            <w:r>
              <w:rPr>
                <w:i/>
              </w:rPr>
              <w:t>"</w:t>
            </w:r>
            <w:r>
              <w:rPr>
                <w:b/>
                <w:i/>
              </w:rPr>
              <w:t>Transport Currency</w:t>
            </w:r>
            <w:r>
              <w:rPr>
                <w:i/>
              </w:rPr>
              <w:t>"</w:t>
            </w:r>
            <w:r>
              <w:rPr>
                <w:b/>
                <w:i/>
              </w:rPr>
              <w:t xml:space="preserve"> </w:t>
            </w:r>
            <w:r>
              <w:t xml:space="preserve">means with respect to Party B: EUR </w:t>
            </w:r>
          </w:p>
        </w:tc>
      </w:tr>
    </w:tbl>
    <w:p w:rsidR="009E30EE" w:rsidRDefault="009E30EE" w:rsidP="009E30EE"/>
    <w:p w:rsidR="009E30EE" w:rsidRDefault="009E30EE" w:rsidP="009E30EE">
      <w:pPr>
        <w:pStyle w:val="Heading2"/>
        <w:keepNext/>
        <w:tabs>
          <w:tab w:val="num" w:pos="720"/>
        </w:tabs>
        <w:ind w:left="720" w:hanging="720"/>
      </w:pPr>
      <w:r>
        <w:t>(g)</w:t>
      </w:r>
      <w:r>
        <w:rPr>
          <w:b/>
          <w:i/>
        </w:rPr>
        <w:tab/>
        <w:t>Holding and Using Posted Collateral</w:t>
      </w:r>
      <w:r>
        <w:t>.</w:t>
      </w:r>
    </w:p>
    <w:p w:rsidR="009E30EE" w:rsidRDefault="009E30EE" w:rsidP="009E30EE">
      <w:pPr>
        <w:pStyle w:val="Level3"/>
        <w:numPr>
          <w:ilvl w:val="0"/>
          <w:numId w:val="0"/>
        </w:numPr>
        <w:ind w:left="900"/>
      </w:pPr>
      <w:r>
        <w:rPr>
          <w:b/>
        </w:rPr>
        <w:t>(</w:t>
      </w:r>
      <w:proofErr w:type="spellStart"/>
      <w:r>
        <w:rPr>
          <w:b/>
        </w:rPr>
        <w:t>i</w:t>
      </w:r>
      <w:proofErr w:type="spellEnd"/>
      <w:r>
        <w:rPr>
          <w:b/>
        </w:rPr>
        <w:t>)</w:t>
      </w:r>
      <w:r>
        <w:rPr>
          <w:b/>
          <w:i/>
        </w:rPr>
        <w:t xml:space="preserve">  Eligibility to Hold Posted Collateral; Custodians</w:t>
      </w:r>
      <w:r>
        <w:t xml:space="preserve">.  Party A and its Custodian will be entitled to hold Posted Collateral pursuant to Paragraph 6(b); </w:t>
      </w:r>
      <w:r>
        <w:rPr>
          <w:i/>
        </w:rPr>
        <w:t>provided</w:t>
      </w:r>
      <w:r>
        <w:t xml:space="preserve"> that the following conditions applicable to it are satisfied:</w:t>
      </w:r>
    </w:p>
    <w:p w:rsidR="009E30EE" w:rsidRDefault="009E30EE" w:rsidP="009E30EE">
      <w:pPr>
        <w:pStyle w:val="Heading5"/>
        <w:ind w:left="1008"/>
      </w:pPr>
      <w:r>
        <w:t>Party A is not a Defaulting Party.</w:t>
      </w:r>
    </w:p>
    <w:p w:rsidR="009E30EE" w:rsidRDefault="009E30EE" w:rsidP="009E30EE">
      <w:pPr>
        <w:pStyle w:val="Heading5"/>
        <w:tabs>
          <w:tab w:val="right" w:leader="dot" w:pos="9360"/>
        </w:tabs>
        <w:ind w:left="1008"/>
      </w:pPr>
      <w:r>
        <w:t>The Custodian is a party acceptable to the other party ; provided, however, that the Custodian shall be deemed acceptable if it has assets of at least CHF 20,000,000 and a long term debt or deposit rating of at least Baa1 from Moody’s and BBB+ from Standard and Poor’s Corporation.</w:t>
      </w:r>
    </w:p>
    <w:p w:rsidR="009E30EE" w:rsidRDefault="009E30EE" w:rsidP="009E30EE">
      <w:pPr>
        <w:pStyle w:val="BodyText2"/>
        <w:tabs>
          <w:tab w:val="left" w:leader="dot" w:pos="9360"/>
        </w:tabs>
        <w:ind w:left="1008"/>
      </w:pPr>
      <w:r>
        <w:lastRenderedPageBreak/>
        <w:t xml:space="preserve">Initially, the </w:t>
      </w:r>
      <w:r>
        <w:rPr>
          <w:b/>
        </w:rPr>
        <w:t>Custodian</w:t>
      </w:r>
      <w:r>
        <w:t xml:space="preserve"> for Party A is none.</w:t>
      </w:r>
    </w:p>
    <w:p w:rsidR="009E30EE" w:rsidRDefault="009E30EE" w:rsidP="009E30EE">
      <w:pPr>
        <w:pStyle w:val="BodyText"/>
        <w:ind w:left="720"/>
      </w:pPr>
      <w:r>
        <w:t xml:space="preserve">Party B and its Custodian will be entitled to hold Posted Collateral pursuant to Paragraph 6(b); </w:t>
      </w:r>
      <w:r>
        <w:rPr>
          <w:i/>
        </w:rPr>
        <w:t xml:space="preserve">provided </w:t>
      </w:r>
      <w:r>
        <w:t>that the following conditions applicable to it are satisfied:</w:t>
      </w:r>
    </w:p>
    <w:p w:rsidR="009E30EE" w:rsidRDefault="009E30EE" w:rsidP="009E30EE">
      <w:pPr>
        <w:pStyle w:val="Heading5"/>
        <w:numPr>
          <w:ilvl w:val="4"/>
          <w:numId w:val="3"/>
        </w:numPr>
        <w:ind w:left="1008"/>
      </w:pPr>
      <w:r>
        <w:t>Party B is not a Defaulting Party.</w:t>
      </w:r>
    </w:p>
    <w:p w:rsidR="009E30EE" w:rsidRDefault="009E30EE" w:rsidP="009E30EE">
      <w:pPr>
        <w:pStyle w:val="Heading5"/>
        <w:tabs>
          <w:tab w:val="right" w:leader="dot" w:pos="9360"/>
        </w:tabs>
        <w:ind w:left="1008"/>
      </w:pPr>
      <w:r>
        <w:t>The Custodian is a party acceptable to the other party ; provided, however, that the Custodian shall be deemed acceptable if it has assets of at least CHF 20,000,000 and a long term debt or deposit rating of at least Baa1 from Moody’s and BBB+ from Standard and Poor’s Corporation.</w:t>
      </w:r>
    </w:p>
    <w:p w:rsidR="009E30EE" w:rsidRDefault="009E30EE" w:rsidP="009E30EE">
      <w:pPr>
        <w:pStyle w:val="BodyText2"/>
        <w:tabs>
          <w:tab w:val="left" w:leader="dot" w:pos="9360"/>
        </w:tabs>
        <w:ind w:left="1008"/>
      </w:pPr>
      <w:r>
        <w:t xml:space="preserve">Initially, the </w:t>
      </w:r>
      <w:r>
        <w:rPr>
          <w:b/>
        </w:rPr>
        <w:t>Custodian</w:t>
      </w:r>
      <w:r>
        <w:t xml:space="preserve"> for Party B is none.</w:t>
      </w:r>
    </w:p>
    <w:p w:rsidR="009E30EE" w:rsidRDefault="009E30EE" w:rsidP="009E30EE">
      <w:pPr>
        <w:pStyle w:val="Heading3"/>
        <w:numPr>
          <w:ilvl w:val="2"/>
          <w:numId w:val="1"/>
        </w:numPr>
      </w:pPr>
      <w:proofErr w:type="gramStart"/>
      <w:r>
        <w:rPr>
          <w:b/>
          <w:i/>
        </w:rPr>
        <w:t>Use of Posted Collateral</w:t>
      </w:r>
      <w:r>
        <w:t>.</w:t>
      </w:r>
      <w:proofErr w:type="gramEnd"/>
      <w:r>
        <w:t xml:space="preserve">  The provisions of Paragraph 6(c) will not apply to the parties specified here with respect to IA Posted Collateral:</w:t>
      </w:r>
    </w:p>
    <w:p w:rsidR="009E30EE" w:rsidRDefault="009E30EE" w:rsidP="009E30EE">
      <w:pPr>
        <w:pStyle w:val="BodyText2"/>
        <w:ind w:left="1440"/>
      </w:pPr>
      <w:r>
        <w:t>[     ] Party A</w:t>
      </w:r>
    </w:p>
    <w:p w:rsidR="009E30EE" w:rsidRDefault="009E30EE" w:rsidP="009E30EE">
      <w:pPr>
        <w:pStyle w:val="BodyText2"/>
        <w:ind w:left="1440"/>
      </w:pPr>
      <w:r>
        <w:t>[     ] Party B</w:t>
      </w:r>
    </w:p>
    <w:p w:rsidR="009E30EE" w:rsidRDefault="009E30EE" w:rsidP="009E30EE">
      <w:pPr>
        <w:pStyle w:val="Heading2"/>
        <w:tabs>
          <w:tab w:val="num" w:pos="720"/>
        </w:tabs>
        <w:ind w:left="720" w:hanging="720"/>
      </w:pPr>
      <w:r>
        <w:t>(h)</w:t>
      </w:r>
      <w:r>
        <w:rPr>
          <w:b/>
          <w:i/>
        </w:rPr>
        <w:tab/>
        <w:t>Interest.</w:t>
      </w:r>
      <w:r>
        <w:t xml:space="preserve"> The "IA Interest Rate" will be for any day: -</w:t>
      </w:r>
    </w:p>
    <w:p w:rsidR="009E30EE" w:rsidRDefault="009E30EE" w:rsidP="009E30EE">
      <w:pPr>
        <w:pStyle w:val="Heading2"/>
        <w:ind w:left="720"/>
        <w:rPr>
          <w:spacing w:val="-3"/>
          <w:szCs w:val="20"/>
        </w:rPr>
      </w:pPr>
      <w:r>
        <w:t>(</w:t>
      </w:r>
      <w:proofErr w:type="spellStart"/>
      <w:r>
        <w:t>i</w:t>
      </w:r>
      <w:proofErr w:type="spellEnd"/>
      <w:r>
        <w:t>)</w:t>
      </w:r>
      <w:r>
        <w:tab/>
        <w:t xml:space="preserve">in the case of an Eligible Transport Currency, the applicable </w:t>
      </w:r>
      <w:r>
        <w:rPr>
          <w:spacing w:val="-3"/>
          <w:szCs w:val="20"/>
        </w:rPr>
        <w:t>"SCSA OIS Rate" for such day appearing on the Bloomberg SCSA Page, or other source(s) that ISDA may designate for this purpose from time to time; and</w:t>
      </w:r>
    </w:p>
    <w:p w:rsidR="009E30EE" w:rsidRPr="00E64D41" w:rsidRDefault="009E30EE" w:rsidP="00E64D41">
      <w:pPr>
        <w:pStyle w:val="Heading2"/>
        <w:ind w:left="720"/>
        <w:rPr>
          <w:spacing w:val="-3"/>
          <w:szCs w:val="20"/>
        </w:rPr>
      </w:pPr>
      <w:r>
        <w:rPr>
          <w:spacing w:val="-3"/>
          <w:szCs w:val="20"/>
        </w:rPr>
        <w:t>(ii)</w:t>
      </w:r>
      <w:r>
        <w:rPr>
          <w:spacing w:val="-3"/>
          <w:szCs w:val="20"/>
        </w:rPr>
        <w:tab/>
      </w:r>
      <w:proofErr w:type="gramStart"/>
      <w:r>
        <w:rPr>
          <w:spacing w:val="-3"/>
          <w:szCs w:val="20"/>
        </w:rPr>
        <w:t>in</w:t>
      </w:r>
      <w:proofErr w:type="gramEnd"/>
      <w:r>
        <w:rPr>
          <w:spacing w:val="-3"/>
          <w:szCs w:val="20"/>
        </w:rPr>
        <w:t xml:space="preserve"> the case of any currency which is not an </w:t>
      </w:r>
      <w:r>
        <w:t>Eligible Transport Currency,  as agreed in writing by the parties.</w:t>
      </w:r>
    </w:p>
    <w:p w:rsidR="009E30EE" w:rsidRDefault="009E30EE" w:rsidP="009E30EE">
      <w:pPr>
        <w:pStyle w:val="List3"/>
        <w:tabs>
          <w:tab w:val="left" w:pos="720"/>
        </w:tabs>
        <w:ind w:hanging="720"/>
        <w:rPr>
          <w:b/>
          <w:i/>
        </w:rPr>
      </w:pPr>
      <w:r>
        <w:rPr>
          <w:b/>
          <w:i/>
        </w:rPr>
        <w:t xml:space="preserve">         Day Count</w:t>
      </w:r>
      <w:r>
        <w:rPr>
          <w:i/>
        </w:rPr>
        <w:t>.</w:t>
      </w:r>
      <w:r>
        <w:rPr>
          <w:b/>
          <w:i/>
        </w:rPr>
        <w:t xml:space="preserve"> </w:t>
      </w:r>
      <w:r>
        <w:t>The "Day Count" will be : 360</w:t>
      </w:r>
    </w:p>
    <w:p w:rsidR="009E30EE" w:rsidRDefault="009E30EE" w:rsidP="009E30EE">
      <w:pPr>
        <w:pStyle w:val="Heading2"/>
        <w:tabs>
          <w:tab w:val="num" w:pos="720"/>
        </w:tabs>
        <w:ind w:left="720" w:hanging="720"/>
        <w:rPr>
          <w:b/>
          <w:i/>
        </w:rPr>
      </w:pPr>
      <w:r>
        <w:t>(j)</w:t>
      </w:r>
      <w:r>
        <w:rPr>
          <w:b/>
          <w:i/>
        </w:rPr>
        <w:tab/>
        <w:t xml:space="preserve"> Existing CSA</w:t>
      </w:r>
      <w:r>
        <w:rPr>
          <w:i/>
        </w:rPr>
        <w:t>.</w:t>
      </w:r>
    </w:p>
    <w:p w:rsidR="009E30EE" w:rsidRDefault="009E30EE" w:rsidP="009E30EE">
      <w:pPr>
        <w:rPr>
          <w:i/>
          <w:sz w:val="20"/>
          <w:szCs w:val="20"/>
        </w:rPr>
      </w:pPr>
      <w:r>
        <w:rPr>
          <w:i/>
          <w:sz w:val="20"/>
          <w:szCs w:val="20"/>
        </w:rPr>
        <w:tab/>
      </w:r>
    </w:p>
    <w:p w:rsidR="009E30EE" w:rsidRDefault="009E30EE" w:rsidP="009E30EE">
      <w:pPr>
        <w:rPr>
          <w:sz w:val="20"/>
          <w:szCs w:val="20"/>
        </w:rPr>
      </w:pPr>
      <w:r>
        <w:rPr>
          <w:i/>
          <w:sz w:val="20"/>
          <w:szCs w:val="20"/>
        </w:rPr>
        <w:tab/>
        <w:t>"</w:t>
      </w:r>
      <w:r>
        <w:rPr>
          <w:b/>
          <w:i/>
          <w:sz w:val="20"/>
          <w:szCs w:val="20"/>
        </w:rPr>
        <w:t>Existing CSA</w:t>
      </w:r>
      <w:r>
        <w:rPr>
          <w:i/>
          <w:sz w:val="20"/>
          <w:szCs w:val="20"/>
        </w:rPr>
        <w:t>"</w:t>
      </w:r>
      <w:r>
        <w:rPr>
          <w:sz w:val="20"/>
          <w:szCs w:val="20"/>
        </w:rPr>
        <w:t xml:space="preserve"> means The Credit Support Annex dated as of August 16, 1992, as the same is amended, </w:t>
      </w:r>
      <w:r>
        <w:rPr>
          <w:sz w:val="20"/>
          <w:szCs w:val="20"/>
        </w:rPr>
        <w:tab/>
        <w:t>modified and supplemented.</w:t>
      </w:r>
    </w:p>
    <w:p w:rsidR="009E30EE" w:rsidRDefault="009E30EE" w:rsidP="009E30EE">
      <w:pPr>
        <w:rPr>
          <w:i/>
        </w:rPr>
      </w:pPr>
      <w:r>
        <w:rPr>
          <w:i/>
          <w:sz w:val="20"/>
          <w:szCs w:val="20"/>
        </w:rPr>
        <w:tab/>
      </w:r>
    </w:p>
    <w:p w:rsidR="009E30EE" w:rsidRDefault="009E30EE" w:rsidP="009E30EE">
      <w:pPr>
        <w:pStyle w:val="Heading2"/>
        <w:tabs>
          <w:tab w:val="left" w:pos="720"/>
        </w:tabs>
        <w:ind w:left="720" w:hanging="720"/>
        <w:rPr>
          <w:b/>
          <w:i/>
        </w:rPr>
      </w:pPr>
      <w:r>
        <w:t>(k)</w:t>
      </w:r>
      <w:r>
        <w:rPr>
          <w:b/>
          <w:i/>
        </w:rPr>
        <w:tab/>
        <w:t>Settlement Day</w:t>
      </w:r>
    </w:p>
    <w:p w:rsidR="009E30EE" w:rsidRPr="009E30EE" w:rsidRDefault="009E30EE" w:rsidP="009E30EE">
      <w:pPr>
        <w:pStyle w:val="Default"/>
        <w:ind w:left="720"/>
        <w:jc w:val="both"/>
        <w:rPr>
          <w:sz w:val="20"/>
          <w:szCs w:val="20"/>
        </w:rPr>
      </w:pPr>
      <w:r w:rsidRPr="009E30EE">
        <w:rPr>
          <w:sz w:val="20"/>
          <w:szCs w:val="20"/>
        </w:rPr>
        <w:t>The Settlement Day means, in relation to a date and a Transfer of cash or other property (other than securities) the first local Business Day immediately following such date.</w:t>
      </w:r>
    </w:p>
    <w:p w:rsidR="009E30EE" w:rsidRDefault="009E30EE" w:rsidP="009E30EE">
      <w:pPr>
        <w:pStyle w:val="Default"/>
        <w:jc w:val="both"/>
        <w:rPr>
          <w:color w:val="auto"/>
        </w:rPr>
      </w:pPr>
    </w:p>
    <w:p w:rsidR="009E30EE" w:rsidRDefault="009E30EE" w:rsidP="009E30EE">
      <w:pPr>
        <w:pStyle w:val="Default"/>
        <w:jc w:val="both"/>
        <w:rPr>
          <w:color w:val="auto"/>
          <w:sz w:val="20"/>
          <w:szCs w:val="20"/>
        </w:rPr>
      </w:pPr>
      <w:r>
        <w:rPr>
          <w:color w:val="auto"/>
          <w:sz w:val="20"/>
          <w:szCs w:val="20"/>
        </w:rPr>
        <w:t xml:space="preserve">(l) </w:t>
      </w:r>
      <w:r>
        <w:rPr>
          <w:color w:val="auto"/>
          <w:sz w:val="20"/>
          <w:szCs w:val="20"/>
        </w:rPr>
        <w:tab/>
      </w:r>
      <w:r>
        <w:rPr>
          <w:b/>
          <w:bCs/>
          <w:i/>
          <w:iCs/>
          <w:color w:val="auto"/>
          <w:sz w:val="20"/>
          <w:szCs w:val="20"/>
        </w:rPr>
        <w:t>Dispute Resolution</w:t>
      </w:r>
      <w:r>
        <w:rPr>
          <w:color w:val="auto"/>
          <w:sz w:val="20"/>
          <w:szCs w:val="20"/>
        </w:rPr>
        <w:t xml:space="preserve">. </w:t>
      </w:r>
    </w:p>
    <w:p w:rsidR="009E30EE" w:rsidRDefault="009E30EE" w:rsidP="009E30EE">
      <w:pPr>
        <w:pStyle w:val="Default"/>
        <w:ind w:left="720"/>
        <w:jc w:val="both"/>
        <w:rPr>
          <w:color w:val="auto"/>
          <w:sz w:val="20"/>
          <w:szCs w:val="20"/>
        </w:rPr>
      </w:pPr>
      <w:r>
        <w:rPr>
          <w:color w:val="auto"/>
          <w:sz w:val="20"/>
          <w:szCs w:val="20"/>
        </w:rPr>
        <w:t>(</w:t>
      </w:r>
      <w:proofErr w:type="spellStart"/>
      <w:r>
        <w:rPr>
          <w:color w:val="auto"/>
          <w:sz w:val="20"/>
          <w:szCs w:val="20"/>
        </w:rPr>
        <w:t>i</w:t>
      </w:r>
      <w:proofErr w:type="spellEnd"/>
      <w:r>
        <w:rPr>
          <w:color w:val="auto"/>
          <w:sz w:val="20"/>
          <w:szCs w:val="20"/>
        </w:rPr>
        <w:t xml:space="preserve">) </w:t>
      </w:r>
      <w:r>
        <w:rPr>
          <w:b/>
          <w:bCs/>
          <w:i/>
          <w:iCs/>
          <w:color w:val="auto"/>
          <w:sz w:val="20"/>
          <w:szCs w:val="20"/>
        </w:rPr>
        <w:t xml:space="preserve">“Resolution Time” </w:t>
      </w:r>
      <w:r>
        <w:rPr>
          <w:color w:val="auto"/>
          <w:sz w:val="20"/>
          <w:szCs w:val="20"/>
        </w:rPr>
        <w:t xml:space="preserve">means 1:00 p.m., New York time, on the Local Business Day following the date on which the notice is given that gives rise to a dispute under Paragraph 5, unless otherwise specified here: </w:t>
      </w:r>
    </w:p>
    <w:p w:rsidR="009E30EE" w:rsidRDefault="009E30EE" w:rsidP="009E30EE">
      <w:pPr>
        <w:pStyle w:val="Default"/>
        <w:jc w:val="both"/>
        <w:rPr>
          <w:color w:val="auto"/>
          <w:sz w:val="20"/>
          <w:szCs w:val="20"/>
        </w:rPr>
      </w:pPr>
    </w:p>
    <w:p w:rsidR="009E30EE" w:rsidRDefault="009E30EE" w:rsidP="009E30EE">
      <w:pPr>
        <w:pStyle w:val="Default"/>
        <w:ind w:left="720"/>
        <w:jc w:val="both"/>
        <w:rPr>
          <w:color w:val="auto"/>
          <w:sz w:val="20"/>
          <w:szCs w:val="20"/>
        </w:rPr>
      </w:pPr>
      <w:r>
        <w:rPr>
          <w:color w:val="auto"/>
          <w:sz w:val="20"/>
          <w:szCs w:val="20"/>
        </w:rPr>
        <w:t xml:space="preserve">(ii) </w:t>
      </w:r>
      <w:r>
        <w:rPr>
          <w:b/>
          <w:bCs/>
          <w:i/>
          <w:iCs/>
          <w:color w:val="auto"/>
          <w:sz w:val="20"/>
          <w:szCs w:val="20"/>
        </w:rPr>
        <w:t>Value</w:t>
      </w:r>
      <w:r>
        <w:rPr>
          <w:color w:val="auto"/>
          <w:sz w:val="20"/>
          <w:szCs w:val="20"/>
        </w:rPr>
        <w:t>. For the purpose of Paragraphs 5(d</w:t>
      </w:r>
      <w:proofErr w:type="gramStart"/>
      <w:r>
        <w:rPr>
          <w:color w:val="auto"/>
          <w:sz w:val="20"/>
          <w:szCs w:val="20"/>
        </w:rPr>
        <w:t>)(</w:t>
      </w:r>
      <w:proofErr w:type="spellStart"/>
      <w:proofErr w:type="gramEnd"/>
      <w:r>
        <w:rPr>
          <w:color w:val="auto"/>
          <w:sz w:val="20"/>
          <w:szCs w:val="20"/>
        </w:rPr>
        <w:t>i</w:t>
      </w:r>
      <w:proofErr w:type="spellEnd"/>
      <w:r>
        <w:rPr>
          <w:color w:val="auto"/>
          <w:sz w:val="20"/>
          <w:szCs w:val="20"/>
        </w:rPr>
        <w:t>)(C) and 5(d)(ii), the Value of Posted Credit Support will be calculated as follows:  Formula XYZ</w:t>
      </w:r>
    </w:p>
    <w:p w:rsidR="009E30EE" w:rsidRDefault="009E30EE" w:rsidP="009E30EE">
      <w:pPr>
        <w:pStyle w:val="Default"/>
        <w:ind w:left="720"/>
        <w:jc w:val="both"/>
      </w:pPr>
    </w:p>
    <w:p w:rsidR="009E30EE" w:rsidRDefault="009E30EE" w:rsidP="009E30EE">
      <w:pPr>
        <w:pStyle w:val="Default"/>
        <w:jc w:val="both"/>
        <w:rPr>
          <w:color w:val="auto"/>
          <w:sz w:val="20"/>
          <w:szCs w:val="20"/>
        </w:rPr>
      </w:pPr>
      <w:r>
        <w:rPr>
          <w:color w:val="auto"/>
          <w:sz w:val="20"/>
          <w:szCs w:val="20"/>
        </w:rPr>
        <w:t xml:space="preserve">(m) </w:t>
      </w:r>
      <w:r>
        <w:rPr>
          <w:color w:val="auto"/>
          <w:sz w:val="20"/>
          <w:szCs w:val="20"/>
        </w:rPr>
        <w:tab/>
      </w:r>
      <w:r>
        <w:rPr>
          <w:b/>
          <w:bCs/>
          <w:i/>
          <w:iCs/>
          <w:color w:val="auto"/>
          <w:sz w:val="20"/>
          <w:szCs w:val="20"/>
        </w:rPr>
        <w:t>Demands and Notices</w:t>
      </w:r>
      <w:r>
        <w:rPr>
          <w:color w:val="auto"/>
          <w:sz w:val="20"/>
          <w:szCs w:val="20"/>
        </w:rPr>
        <w:t xml:space="preserve">. </w:t>
      </w:r>
    </w:p>
    <w:p w:rsidR="009E30EE" w:rsidRDefault="009E30EE" w:rsidP="009E30EE">
      <w:pPr>
        <w:pStyle w:val="Default"/>
        <w:ind w:left="720"/>
        <w:jc w:val="both"/>
        <w:rPr>
          <w:sz w:val="20"/>
          <w:szCs w:val="20"/>
        </w:rPr>
      </w:pPr>
      <w:r>
        <w:rPr>
          <w:sz w:val="20"/>
          <w:szCs w:val="20"/>
        </w:rPr>
        <w:t>All demands, specifications and notices under this Annex will be made pursuant to the Notices Section of this Agreement, unless otherwise specified here:</w:t>
      </w:r>
    </w:p>
    <w:p w:rsidR="009E30EE" w:rsidRDefault="009E30EE" w:rsidP="009E30EE">
      <w:pPr>
        <w:pStyle w:val="BodyText2"/>
        <w:tabs>
          <w:tab w:val="left" w:leader="dot" w:pos="9216"/>
        </w:tabs>
      </w:pPr>
      <w:r>
        <w:t xml:space="preserve">Party A: </w:t>
      </w:r>
    </w:p>
    <w:p w:rsidR="009E30EE" w:rsidRDefault="009E30EE" w:rsidP="009E30EE">
      <w:pPr>
        <w:pStyle w:val="BodyText2"/>
        <w:tabs>
          <w:tab w:val="left" w:leader="dot" w:pos="9216"/>
        </w:tabs>
      </w:pPr>
      <w:r>
        <w:t>Party A Phone Number:</w:t>
      </w:r>
    </w:p>
    <w:p w:rsidR="009E30EE" w:rsidRDefault="009E30EE" w:rsidP="009E30EE">
      <w:pPr>
        <w:pStyle w:val="BodyText2"/>
        <w:tabs>
          <w:tab w:val="left" w:leader="dot" w:pos="9216"/>
        </w:tabs>
      </w:pPr>
      <w:r>
        <w:t>Party A Street Address:</w:t>
      </w:r>
    </w:p>
    <w:p w:rsidR="009E30EE" w:rsidRDefault="009E30EE" w:rsidP="009E30EE">
      <w:pPr>
        <w:pStyle w:val="BodyText2"/>
        <w:tabs>
          <w:tab w:val="left" w:leader="dot" w:pos="9216"/>
        </w:tabs>
      </w:pPr>
      <w:r>
        <w:t>New York</w:t>
      </w:r>
    </w:p>
    <w:p w:rsidR="009E30EE" w:rsidRDefault="009E30EE" w:rsidP="009E30EE">
      <w:pPr>
        <w:pStyle w:val="BodyText2"/>
        <w:tabs>
          <w:tab w:val="left" w:leader="dot" w:pos="9216"/>
        </w:tabs>
      </w:pPr>
      <w:r>
        <w:lastRenderedPageBreak/>
        <w:t>USA</w:t>
      </w:r>
    </w:p>
    <w:p w:rsidR="009E30EE" w:rsidRDefault="009E30EE" w:rsidP="009E30EE">
      <w:pPr>
        <w:pStyle w:val="BodyText2"/>
        <w:tabs>
          <w:tab w:val="left" w:leader="dot" w:pos="9216"/>
        </w:tabs>
      </w:pPr>
      <w:r>
        <w:t>10000</w:t>
      </w:r>
    </w:p>
    <w:p w:rsidR="009E30EE" w:rsidRDefault="009E30EE" w:rsidP="009E30EE">
      <w:pPr>
        <w:pStyle w:val="BodyText2"/>
        <w:tabs>
          <w:tab w:val="left" w:leader="dot" w:pos="9216"/>
        </w:tabs>
        <w:rPr>
          <w:lang w:val="de-DE"/>
        </w:rPr>
      </w:pPr>
      <w:r>
        <w:rPr>
          <w:lang w:val="de-DE"/>
        </w:rPr>
        <w:t xml:space="preserve">Party B: </w:t>
      </w:r>
    </w:p>
    <w:p w:rsidR="009E30EE" w:rsidRDefault="009E30EE" w:rsidP="009E30EE">
      <w:pPr>
        <w:pStyle w:val="BodyText2"/>
        <w:tabs>
          <w:tab w:val="left" w:leader="dot" w:pos="9216"/>
        </w:tabs>
        <w:rPr>
          <w:lang w:val="de-DE"/>
        </w:rPr>
      </w:pPr>
      <w:r>
        <w:rPr>
          <w:lang w:val="de-DE"/>
        </w:rPr>
        <w:t>Party B Phone Number</w:t>
      </w:r>
    </w:p>
    <w:p w:rsidR="009E30EE" w:rsidRDefault="009E30EE" w:rsidP="009E30EE">
      <w:pPr>
        <w:pStyle w:val="BodyText2"/>
        <w:tabs>
          <w:tab w:val="left" w:leader="dot" w:pos="9216"/>
        </w:tabs>
        <w:rPr>
          <w:lang w:val="de-DE"/>
        </w:rPr>
      </w:pPr>
      <w:r>
        <w:rPr>
          <w:lang w:val="de-DE"/>
        </w:rPr>
        <w:t>Party B Street Address</w:t>
      </w:r>
    </w:p>
    <w:p w:rsidR="009E30EE" w:rsidRDefault="009E30EE" w:rsidP="009E30EE">
      <w:pPr>
        <w:pStyle w:val="BodyText2"/>
        <w:tabs>
          <w:tab w:val="left" w:leader="dot" w:pos="9216"/>
        </w:tabs>
        <w:rPr>
          <w:lang w:val="de-DE"/>
        </w:rPr>
      </w:pPr>
      <w:r>
        <w:rPr>
          <w:lang w:val="de-DE"/>
        </w:rPr>
        <w:t>London</w:t>
      </w:r>
    </w:p>
    <w:p w:rsidR="009E30EE" w:rsidRDefault="009E30EE" w:rsidP="009E30EE">
      <w:pPr>
        <w:pStyle w:val="Heading2"/>
        <w:ind w:left="720"/>
        <w:rPr>
          <w:lang w:val="de-DE"/>
        </w:rPr>
      </w:pPr>
      <w:r>
        <w:rPr>
          <w:lang w:val="de-DE"/>
        </w:rPr>
        <w:t>United Kingdom</w:t>
      </w:r>
    </w:p>
    <w:p w:rsidR="009E30EE" w:rsidRDefault="009E30EE" w:rsidP="009E30EE">
      <w:pPr>
        <w:ind w:firstLine="720"/>
        <w:rPr>
          <w:sz w:val="20"/>
          <w:szCs w:val="20"/>
          <w:lang w:val="de-DE"/>
        </w:rPr>
      </w:pPr>
      <w:r>
        <w:rPr>
          <w:sz w:val="20"/>
          <w:szCs w:val="20"/>
          <w:lang w:val="de-DE"/>
        </w:rPr>
        <w:t>1000</w:t>
      </w:r>
    </w:p>
    <w:p w:rsidR="009E30EE" w:rsidRDefault="009E30EE" w:rsidP="009E30EE">
      <w:pPr>
        <w:pStyle w:val="Heading2"/>
        <w:tabs>
          <w:tab w:val="left" w:pos="720"/>
        </w:tabs>
      </w:pPr>
      <w:r w:rsidRPr="009E30EE">
        <w:t>(n)</w:t>
      </w:r>
      <w:r w:rsidRPr="009E30EE">
        <w:tab/>
      </w:r>
      <w:r>
        <w:rPr>
          <w:b/>
          <w:i/>
        </w:rPr>
        <w:t>Addresses for Transfers</w:t>
      </w:r>
      <w:r>
        <w:t>.</w:t>
      </w:r>
    </w:p>
    <w:p w:rsidR="009E30EE" w:rsidRDefault="009E30EE" w:rsidP="009E30EE">
      <w:pPr>
        <w:pStyle w:val="BodyText2"/>
        <w:tabs>
          <w:tab w:val="left" w:leader="dot" w:pos="9216"/>
        </w:tabs>
      </w:pPr>
      <w:r>
        <w:t>Party A:</w:t>
      </w:r>
    </w:p>
    <w:p w:rsidR="009E30EE" w:rsidRDefault="009E30EE" w:rsidP="009E30EE">
      <w:pPr>
        <w:pStyle w:val="BodyText2"/>
        <w:tabs>
          <w:tab w:val="left" w:leader="dot" w:pos="9216"/>
        </w:tabs>
      </w:pPr>
      <w:r>
        <w:t xml:space="preserve">Party </w:t>
      </w:r>
      <w:proofErr w:type="gramStart"/>
      <w:r>
        <w:t>A</w:t>
      </w:r>
      <w:proofErr w:type="gramEnd"/>
      <w:r>
        <w:t xml:space="preserve"> Custodian’s Street Address</w:t>
      </w:r>
    </w:p>
    <w:p w:rsidR="009E30EE" w:rsidRDefault="009E30EE" w:rsidP="009E30EE">
      <w:pPr>
        <w:pStyle w:val="BodyText2"/>
        <w:tabs>
          <w:tab w:val="left" w:leader="dot" w:pos="9216"/>
        </w:tabs>
      </w:pPr>
      <w:r>
        <w:t>New York</w:t>
      </w:r>
    </w:p>
    <w:p w:rsidR="009E30EE" w:rsidRDefault="009E30EE" w:rsidP="009E30EE">
      <w:pPr>
        <w:pStyle w:val="BodyText2"/>
        <w:tabs>
          <w:tab w:val="left" w:leader="dot" w:pos="9216"/>
        </w:tabs>
      </w:pPr>
      <w:r>
        <w:t>USA</w:t>
      </w:r>
    </w:p>
    <w:p w:rsidR="009E30EE" w:rsidRDefault="009E30EE" w:rsidP="009E30EE">
      <w:pPr>
        <w:pStyle w:val="BodyText2"/>
        <w:tabs>
          <w:tab w:val="left" w:leader="dot" w:pos="9216"/>
        </w:tabs>
      </w:pPr>
      <w:r>
        <w:t>10000</w:t>
      </w:r>
    </w:p>
    <w:p w:rsidR="009E30EE" w:rsidRDefault="009E30EE" w:rsidP="009E30EE">
      <w:pPr>
        <w:pStyle w:val="BodyText2"/>
        <w:tabs>
          <w:tab w:val="left" w:leader="dot" w:pos="9216"/>
        </w:tabs>
      </w:pPr>
      <w:r>
        <w:t xml:space="preserve">Party B: </w:t>
      </w:r>
    </w:p>
    <w:p w:rsidR="009E30EE" w:rsidRDefault="009E30EE" w:rsidP="009E30EE">
      <w:pPr>
        <w:pStyle w:val="BodyText2"/>
        <w:tabs>
          <w:tab w:val="left" w:leader="dot" w:pos="9216"/>
        </w:tabs>
      </w:pPr>
      <w:r>
        <w:t xml:space="preserve">Party </w:t>
      </w:r>
      <w:proofErr w:type="gramStart"/>
      <w:r>
        <w:t>B  Street</w:t>
      </w:r>
      <w:proofErr w:type="gramEnd"/>
      <w:r>
        <w:t xml:space="preserve"> Address</w:t>
      </w:r>
    </w:p>
    <w:p w:rsidR="009E30EE" w:rsidRDefault="009E30EE" w:rsidP="009E30EE">
      <w:pPr>
        <w:pStyle w:val="BodyText2"/>
        <w:tabs>
          <w:tab w:val="left" w:leader="dot" w:pos="9216"/>
        </w:tabs>
      </w:pPr>
      <w:r>
        <w:t>London</w:t>
      </w:r>
    </w:p>
    <w:p w:rsidR="009E30EE" w:rsidRDefault="009E30EE" w:rsidP="009E30EE">
      <w:pPr>
        <w:pStyle w:val="BodyText2"/>
        <w:tabs>
          <w:tab w:val="left" w:leader="dot" w:pos="9216"/>
        </w:tabs>
      </w:pPr>
      <w:r>
        <w:t>United Kingdom</w:t>
      </w:r>
    </w:p>
    <w:p w:rsidR="009E30EE" w:rsidRDefault="009E30EE" w:rsidP="009E30EE">
      <w:pPr>
        <w:pStyle w:val="BodyText2"/>
        <w:tabs>
          <w:tab w:val="left" w:leader="dot" w:pos="9216"/>
        </w:tabs>
      </w:pPr>
      <w:r>
        <w:t>10000</w:t>
      </w:r>
    </w:p>
    <w:p w:rsidR="009E30EE" w:rsidRDefault="009E30EE" w:rsidP="009E30EE">
      <w:pPr>
        <w:pStyle w:val="BodyText2"/>
        <w:tabs>
          <w:tab w:val="left" w:leader="dot" w:pos="9216"/>
        </w:tabs>
      </w:pPr>
      <w:r>
        <w:t>United Kingdom</w:t>
      </w:r>
    </w:p>
    <w:p w:rsidR="009E30EE" w:rsidRDefault="009E30EE" w:rsidP="009E30EE">
      <w:pPr>
        <w:pStyle w:val="Heading2"/>
        <w:numPr>
          <w:ilvl w:val="1"/>
          <w:numId w:val="4"/>
        </w:numPr>
        <w:tabs>
          <w:tab w:val="num" w:pos="720"/>
        </w:tabs>
        <w:ind w:left="0"/>
      </w:pPr>
      <w:proofErr w:type="gramStart"/>
      <w:r>
        <w:rPr>
          <w:b/>
          <w:i/>
        </w:rPr>
        <w:t>Other Provisions</w:t>
      </w:r>
      <w:r>
        <w:t>.</w:t>
      </w:r>
      <w:proofErr w:type="gramEnd"/>
    </w:p>
    <w:p w:rsidR="009E30EE" w:rsidRDefault="009E30EE" w:rsidP="009E30EE"/>
    <w:p w:rsidR="009E30EE" w:rsidRDefault="009E30EE" w:rsidP="009E30EE">
      <w:pPr>
        <w:ind w:firstLine="720"/>
        <w:rPr>
          <w:sz w:val="20"/>
          <w:szCs w:val="20"/>
        </w:rPr>
      </w:pPr>
      <w:r>
        <w:rPr>
          <w:sz w:val="20"/>
          <w:szCs w:val="20"/>
        </w:rPr>
        <w:t>None</w:t>
      </w:r>
    </w:p>
    <w:p w:rsidR="009E30EE" w:rsidRDefault="009E30EE" w:rsidP="009E30EE">
      <w:pPr>
        <w:pStyle w:val="BodyText2"/>
        <w:jc w:val="center"/>
        <w:rPr>
          <w:b/>
        </w:rPr>
      </w:pPr>
    </w:p>
    <w:p w:rsidR="009E30EE" w:rsidRDefault="009E30EE" w:rsidP="009E30EE">
      <w:pPr>
        <w:pStyle w:val="BodyText2"/>
        <w:jc w:val="center"/>
        <w:rPr>
          <w:b/>
        </w:rPr>
      </w:pPr>
    </w:p>
    <w:p w:rsidR="009E30EE" w:rsidRDefault="009E30EE" w:rsidP="009E30EE">
      <w:pPr>
        <w:pStyle w:val="BodyText2"/>
        <w:jc w:val="center"/>
        <w:rPr>
          <w:b/>
        </w:rPr>
      </w:pPr>
    </w:p>
    <w:p w:rsidR="009E30EE" w:rsidRDefault="009E30EE" w:rsidP="009E30EE">
      <w:pPr>
        <w:pStyle w:val="BodyText2"/>
        <w:jc w:val="center"/>
        <w:rPr>
          <w:b/>
        </w:rPr>
      </w:pPr>
    </w:p>
    <w:p w:rsidR="009E30EE" w:rsidRDefault="009E30EE" w:rsidP="009E30EE">
      <w:pPr>
        <w:pStyle w:val="BodyText2"/>
        <w:jc w:val="left"/>
        <w:rPr>
          <w:b/>
        </w:rPr>
      </w:pPr>
    </w:p>
    <w:p w:rsidR="009E30EE" w:rsidRDefault="009E30EE" w:rsidP="009E30EE">
      <w:pPr>
        <w:pStyle w:val="BodyText2"/>
        <w:jc w:val="center"/>
        <w:rPr>
          <w:b/>
        </w:rPr>
      </w:pPr>
    </w:p>
    <w:p w:rsidR="009E30EE" w:rsidRDefault="009E30EE" w:rsidP="009E30EE">
      <w:pPr>
        <w:pStyle w:val="BodyText2"/>
        <w:jc w:val="left"/>
        <w:rPr>
          <w:b/>
          <w:color w:val="FF00FF"/>
        </w:rPr>
      </w:pPr>
    </w:p>
    <w:p w:rsidR="00774A2F" w:rsidRDefault="00774A2F"/>
    <w:sectPr w:rsidR="00774A2F" w:rsidSect="0077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E0E42"/>
    <w:multiLevelType w:val="multilevel"/>
    <w:tmpl w:val="BFC69B82"/>
    <w:lvl w:ilvl="0">
      <w:start w:val="1"/>
      <w:numFmt w:val="none"/>
      <w:pStyle w:val="List"/>
      <w:suff w:val="nothing"/>
      <w:lvlText w:val=""/>
      <w:lvlJc w:val="left"/>
      <w:pPr>
        <w:ind w:left="0" w:firstLine="0"/>
      </w:pPr>
    </w:lvl>
    <w:lvl w:ilvl="1">
      <w:start w:val="24"/>
      <w:numFmt w:val="lowerLetter"/>
      <w:pStyle w:val="List2"/>
      <w:suff w:val="space"/>
      <w:lvlText w:val="(%2)"/>
      <w:lvlJc w:val="left"/>
      <w:pPr>
        <w:ind w:left="720" w:firstLine="0"/>
      </w:pPr>
    </w:lvl>
    <w:lvl w:ilvl="2">
      <w:start w:val="1"/>
      <w:numFmt w:val="lowerRoman"/>
      <w:pStyle w:val="List3"/>
      <w:suff w:val="space"/>
      <w:lvlText w:val="(%3)"/>
      <w:lvlJc w:val="left"/>
      <w:pPr>
        <w:ind w:left="180" w:firstLine="0"/>
      </w:pPr>
      <w:rPr>
        <w:b w:val="0"/>
        <w:i w:val="0"/>
      </w:rPr>
    </w:lvl>
    <w:lvl w:ilvl="3">
      <w:start w:val="1"/>
      <w:numFmt w:val="upperLetter"/>
      <w:pStyle w:val="List4"/>
      <w:suff w:val="space"/>
      <w:lvlText w:val="(%4)"/>
      <w:lvlJc w:val="left"/>
      <w:pPr>
        <w:ind w:left="108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45F54B0"/>
    <w:multiLevelType w:val="multilevel"/>
    <w:tmpl w:val="6BD8CC40"/>
    <w:lvl w:ilvl="0">
      <w:start w:val="13"/>
      <w:numFmt w:val="decimal"/>
      <w:pStyle w:val="Heading1"/>
      <w:lvlText w:val="Paragraph %1."/>
      <w:lvlJc w:val="left"/>
      <w:pPr>
        <w:tabs>
          <w:tab w:val="num" w:pos="1440"/>
        </w:tabs>
        <w:ind w:left="0" w:firstLine="0"/>
      </w:pPr>
    </w:lvl>
    <w:lvl w:ilvl="1">
      <w:start w:val="13"/>
      <w:numFmt w:val="lowerLetter"/>
      <w:lvlText w:val="(%2)"/>
      <w:lvlJc w:val="left"/>
      <w:pPr>
        <w:tabs>
          <w:tab w:val="num" w:pos="2340"/>
        </w:tabs>
        <w:ind w:left="1620" w:firstLine="0"/>
      </w:pPr>
      <w:rPr>
        <w:b w:val="0"/>
        <w:i w:val="0"/>
        <w:sz w:val="20"/>
        <w:szCs w:val="20"/>
      </w:rPr>
    </w:lvl>
    <w:lvl w:ilvl="2">
      <w:start w:val="1"/>
      <w:numFmt w:val="lowerRoman"/>
      <w:pStyle w:val="Level3"/>
      <w:suff w:val="space"/>
      <w:lvlText w:val="(%3)"/>
      <w:lvlJc w:val="left"/>
      <w:pPr>
        <w:ind w:left="720" w:firstLine="0"/>
      </w:pPr>
    </w:lvl>
    <w:lvl w:ilvl="3">
      <w:start w:val="1"/>
      <w:numFmt w:val="upperLetter"/>
      <w:pStyle w:val="Heading4"/>
      <w:suff w:val="space"/>
      <w:lvlText w:val="(%4)"/>
      <w:lvlJc w:val="left"/>
      <w:pPr>
        <w:ind w:left="1008" w:firstLine="0"/>
      </w:pPr>
    </w:lvl>
    <w:lvl w:ilvl="4">
      <w:start w:val="1"/>
      <w:numFmt w:val="decimal"/>
      <w:pStyle w:val="Heading5"/>
      <w:suff w:val="space"/>
      <w:lvlText w:val="(%5)"/>
      <w:lvlJc w:val="left"/>
      <w:pPr>
        <w:ind w:left="1296"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3">
    <w:nsid w:val="4E4B4E3E"/>
    <w:multiLevelType w:val="multilevel"/>
    <w:tmpl w:val="EFA8A052"/>
    <w:name w:val="AOHead"/>
    <w:lvl w:ilvl="0">
      <w:start w:val="1"/>
      <w:numFmt w:val="decimal"/>
      <w:pStyle w:val="AOHead1"/>
      <w:lvlText w:val="%1."/>
      <w:lvlJc w:val="left"/>
      <w:pPr>
        <w:tabs>
          <w:tab w:val="num" w:pos="720"/>
        </w:tabs>
        <w:ind w:left="720" w:hanging="720"/>
      </w:pPr>
    </w:lvl>
    <w:lvl w:ilvl="1">
      <w:start w:val="1"/>
      <w:numFmt w:val="decimal"/>
      <w:pStyle w:val="AOHead2"/>
      <w:lvlText w:val="%1.%2"/>
      <w:lvlJc w:val="left"/>
      <w:pPr>
        <w:tabs>
          <w:tab w:val="num" w:pos="720"/>
        </w:tabs>
        <w:ind w:left="720" w:hanging="720"/>
      </w:pPr>
    </w:lvl>
    <w:lvl w:ilvl="2">
      <w:start w:val="1"/>
      <w:numFmt w:val="lowerLetter"/>
      <w:pStyle w:val="AOHead3"/>
      <w:lvlText w:val="(%3)"/>
      <w:lvlJc w:val="left"/>
      <w:pPr>
        <w:tabs>
          <w:tab w:val="num" w:pos="1440"/>
        </w:tabs>
        <w:ind w:left="1440" w:hanging="720"/>
      </w:pPr>
    </w:lvl>
    <w:lvl w:ilvl="3">
      <w:start w:val="1"/>
      <w:numFmt w:val="lowerRoman"/>
      <w:pStyle w:val="AOHead4"/>
      <w:lvlText w:val="(%4)"/>
      <w:lvlJc w:val="left"/>
      <w:pPr>
        <w:tabs>
          <w:tab w:val="num" w:pos="2160"/>
        </w:tabs>
        <w:ind w:left="2160" w:hanging="720"/>
      </w:pPr>
    </w:lvl>
    <w:lvl w:ilvl="4">
      <w:start w:val="1"/>
      <w:numFmt w:val="upperLetter"/>
      <w:pStyle w:val="AOHead5"/>
      <w:lvlText w:val="(%5)"/>
      <w:lvlJc w:val="left"/>
      <w:pPr>
        <w:tabs>
          <w:tab w:val="num" w:pos="2880"/>
        </w:tabs>
        <w:ind w:left="2880" w:hanging="720"/>
      </w:pPr>
    </w:lvl>
    <w:lvl w:ilvl="5">
      <w:start w:val="1"/>
      <w:numFmt w:val="upperRoman"/>
      <w:pStyle w:val="AOHead6"/>
      <w:lvlText w:val="%6."/>
      <w:lvlJc w:val="left"/>
      <w:pPr>
        <w:tabs>
          <w:tab w:val="num" w:pos="3600"/>
        </w:tabs>
        <w:ind w:lef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4">
    <w:nsid w:val="62830D10"/>
    <w:multiLevelType w:val="multilevel"/>
    <w:tmpl w:val="8604AE3C"/>
    <w:name w:val="AOA"/>
    <w:lvl w:ilvl="0">
      <w:start w:val="1"/>
      <w:numFmt w:val="upperLetter"/>
      <w:pStyle w:val="AOA"/>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num w:numId="1">
    <w:abstractNumId w:val="1"/>
    <w:lvlOverride w:ilvl="0">
      <w:startOverride w:val="1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2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3"/>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0EE"/>
    <w:rsid w:val="00101C86"/>
    <w:rsid w:val="002D075E"/>
    <w:rsid w:val="00457C67"/>
    <w:rsid w:val="00774A2F"/>
    <w:rsid w:val="00895485"/>
    <w:rsid w:val="009E30EE"/>
    <w:rsid w:val="00A573EE"/>
    <w:rsid w:val="00D660B5"/>
    <w:rsid w:val="00DA48DB"/>
    <w:rsid w:val="00DF5280"/>
    <w:rsid w:val="00E64D41"/>
    <w:rsid w:val="00E80E42"/>
    <w:rsid w:val="00FE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List 3" w:uiPriority="0"/>
    <w:lsdException w:name="List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0EE"/>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30EE"/>
    <w:pPr>
      <w:keepNext/>
      <w:numPr>
        <w:numId w:val="1"/>
      </w:numPr>
      <w:spacing w:before="160"/>
      <w:outlineLvl w:val="0"/>
    </w:pPr>
    <w:rPr>
      <w:rFonts w:cs="Arial"/>
      <w:b/>
      <w:bCs/>
      <w:kern w:val="32"/>
      <w:sz w:val="20"/>
      <w:szCs w:val="32"/>
    </w:rPr>
  </w:style>
  <w:style w:type="paragraph" w:styleId="Heading2">
    <w:name w:val="heading 2"/>
    <w:basedOn w:val="Normal"/>
    <w:next w:val="Normal"/>
    <w:link w:val="Heading2Char"/>
    <w:semiHidden/>
    <w:unhideWhenUsed/>
    <w:qFormat/>
    <w:rsid w:val="009E30EE"/>
    <w:pPr>
      <w:spacing w:before="160"/>
      <w:jc w:val="both"/>
      <w:outlineLvl w:val="1"/>
    </w:pPr>
    <w:rPr>
      <w:rFonts w:cs="Arial"/>
      <w:bCs/>
      <w:iCs/>
      <w:sz w:val="20"/>
      <w:szCs w:val="28"/>
    </w:rPr>
  </w:style>
  <w:style w:type="paragraph" w:styleId="Heading3">
    <w:name w:val="heading 3"/>
    <w:basedOn w:val="Normal"/>
    <w:next w:val="Normal"/>
    <w:link w:val="Heading3Char"/>
    <w:semiHidden/>
    <w:unhideWhenUsed/>
    <w:qFormat/>
    <w:rsid w:val="009E30EE"/>
    <w:pPr>
      <w:spacing w:before="160"/>
      <w:ind w:left="180"/>
      <w:jc w:val="both"/>
      <w:outlineLvl w:val="2"/>
    </w:pPr>
    <w:rPr>
      <w:rFonts w:cs="Arial"/>
      <w:bCs/>
      <w:sz w:val="20"/>
      <w:szCs w:val="26"/>
    </w:rPr>
  </w:style>
  <w:style w:type="paragraph" w:styleId="Heading4">
    <w:name w:val="heading 4"/>
    <w:basedOn w:val="Normal"/>
    <w:next w:val="Normal"/>
    <w:link w:val="Heading4Char"/>
    <w:unhideWhenUsed/>
    <w:qFormat/>
    <w:rsid w:val="009E30EE"/>
    <w:pPr>
      <w:numPr>
        <w:ilvl w:val="3"/>
        <w:numId w:val="1"/>
      </w:numPr>
      <w:spacing w:before="160"/>
      <w:jc w:val="both"/>
      <w:outlineLvl w:val="3"/>
    </w:pPr>
    <w:rPr>
      <w:bCs/>
      <w:sz w:val="20"/>
      <w:szCs w:val="28"/>
    </w:rPr>
  </w:style>
  <w:style w:type="paragraph" w:styleId="Heading5">
    <w:name w:val="heading 5"/>
    <w:basedOn w:val="Normal"/>
    <w:next w:val="Normal"/>
    <w:link w:val="Heading5Char"/>
    <w:semiHidden/>
    <w:unhideWhenUsed/>
    <w:qFormat/>
    <w:rsid w:val="009E30EE"/>
    <w:pPr>
      <w:numPr>
        <w:ilvl w:val="4"/>
        <w:numId w:val="1"/>
      </w:numPr>
      <w:spacing w:before="160"/>
      <w:jc w:val="both"/>
      <w:outlineLvl w:val="4"/>
    </w:pPr>
    <w:rPr>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30EE"/>
    <w:rPr>
      <w:rFonts w:ascii="Times New Roman" w:eastAsia="Times New Roman" w:hAnsi="Times New Roman" w:cs="Arial"/>
      <w:b/>
      <w:bCs/>
      <w:kern w:val="32"/>
      <w:sz w:val="20"/>
      <w:szCs w:val="32"/>
    </w:rPr>
  </w:style>
  <w:style w:type="character" w:customStyle="1" w:styleId="Heading2Char">
    <w:name w:val="Heading 2 Char"/>
    <w:basedOn w:val="DefaultParagraphFont"/>
    <w:link w:val="Heading2"/>
    <w:semiHidden/>
    <w:rsid w:val="009E30EE"/>
    <w:rPr>
      <w:rFonts w:ascii="Times New Roman" w:eastAsia="Times New Roman" w:hAnsi="Times New Roman" w:cs="Arial"/>
      <w:bCs/>
      <w:iCs/>
      <w:sz w:val="20"/>
      <w:szCs w:val="28"/>
    </w:rPr>
  </w:style>
  <w:style w:type="character" w:customStyle="1" w:styleId="Heading3Char">
    <w:name w:val="Heading 3 Char"/>
    <w:basedOn w:val="DefaultParagraphFont"/>
    <w:link w:val="Heading3"/>
    <w:semiHidden/>
    <w:rsid w:val="009E30EE"/>
    <w:rPr>
      <w:rFonts w:ascii="Times New Roman" w:eastAsia="Times New Roman" w:hAnsi="Times New Roman" w:cs="Arial"/>
      <w:bCs/>
      <w:sz w:val="20"/>
      <w:szCs w:val="26"/>
    </w:rPr>
  </w:style>
  <w:style w:type="character" w:customStyle="1" w:styleId="Heading4Char">
    <w:name w:val="Heading 4 Char"/>
    <w:basedOn w:val="DefaultParagraphFont"/>
    <w:link w:val="Heading4"/>
    <w:rsid w:val="009E30EE"/>
    <w:rPr>
      <w:rFonts w:ascii="Times New Roman" w:eastAsia="Times New Roman" w:hAnsi="Times New Roman" w:cs="Times New Roman"/>
      <w:bCs/>
      <w:sz w:val="20"/>
      <w:szCs w:val="28"/>
    </w:rPr>
  </w:style>
  <w:style w:type="character" w:customStyle="1" w:styleId="Heading5Char">
    <w:name w:val="Heading 5 Char"/>
    <w:basedOn w:val="DefaultParagraphFont"/>
    <w:link w:val="Heading5"/>
    <w:semiHidden/>
    <w:rsid w:val="009E30EE"/>
    <w:rPr>
      <w:rFonts w:ascii="Times New Roman" w:eastAsia="Times New Roman" w:hAnsi="Times New Roman" w:cs="Times New Roman"/>
      <w:bCs/>
      <w:iCs/>
      <w:sz w:val="20"/>
      <w:szCs w:val="26"/>
    </w:rPr>
  </w:style>
  <w:style w:type="paragraph" w:styleId="List">
    <w:name w:val="List"/>
    <w:basedOn w:val="Normal"/>
    <w:semiHidden/>
    <w:unhideWhenUsed/>
    <w:rsid w:val="009E30EE"/>
    <w:pPr>
      <w:numPr>
        <w:numId w:val="2"/>
      </w:numPr>
      <w:spacing w:before="160"/>
      <w:jc w:val="both"/>
    </w:pPr>
    <w:rPr>
      <w:sz w:val="20"/>
    </w:rPr>
  </w:style>
  <w:style w:type="paragraph" w:styleId="List2">
    <w:name w:val="List 2"/>
    <w:basedOn w:val="Normal"/>
    <w:semiHidden/>
    <w:unhideWhenUsed/>
    <w:rsid w:val="009E30EE"/>
    <w:pPr>
      <w:numPr>
        <w:ilvl w:val="1"/>
        <w:numId w:val="2"/>
      </w:numPr>
      <w:spacing w:before="160"/>
      <w:jc w:val="both"/>
    </w:pPr>
    <w:rPr>
      <w:sz w:val="20"/>
    </w:rPr>
  </w:style>
  <w:style w:type="paragraph" w:styleId="List3">
    <w:name w:val="List 3"/>
    <w:basedOn w:val="Normal"/>
    <w:semiHidden/>
    <w:unhideWhenUsed/>
    <w:rsid w:val="009E30EE"/>
    <w:pPr>
      <w:numPr>
        <w:ilvl w:val="2"/>
        <w:numId w:val="2"/>
      </w:numPr>
      <w:spacing w:before="160"/>
      <w:ind w:left="720"/>
      <w:jc w:val="both"/>
    </w:pPr>
    <w:rPr>
      <w:sz w:val="20"/>
    </w:rPr>
  </w:style>
  <w:style w:type="paragraph" w:styleId="List4">
    <w:name w:val="List 4"/>
    <w:basedOn w:val="Normal"/>
    <w:semiHidden/>
    <w:unhideWhenUsed/>
    <w:rsid w:val="009E30EE"/>
    <w:pPr>
      <w:numPr>
        <w:ilvl w:val="3"/>
        <w:numId w:val="2"/>
      </w:numPr>
      <w:spacing w:before="160"/>
      <w:jc w:val="both"/>
    </w:pPr>
    <w:rPr>
      <w:sz w:val="20"/>
    </w:rPr>
  </w:style>
  <w:style w:type="paragraph" w:styleId="BodyText">
    <w:name w:val="Body Text"/>
    <w:basedOn w:val="Normal"/>
    <w:link w:val="BodyTextChar"/>
    <w:unhideWhenUsed/>
    <w:rsid w:val="009E30EE"/>
    <w:pPr>
      <w:spacing w:before="160"/>
      <w:jc w:val="both"/>
    </w:pPr>
    <w:rPr>
      <w:sz w:val="20"/>
    </w:rPr>
  </w:style>
  <w:style w:type="character" w:customStyle="1" w:styleId="BodyTextChar">
    <w:name w:val="Body Text Char"/>
    <w:basedOn w:val="DefaultParagraphFont"/>
    <w:link w:val="BodyText"/>
    <w:rsid w:val="009E30EE"/>
    <w:rPr>
      <w:rFonts w:ascii="Times New Roman" w:eastAsia="Times New Roman" w:hAnsi="Times New Roman" w:cs="Times New Roman"/>
      <w:sz w:val="20"/>
      <w:szCs w:val="24"/>
    </w:rPr>
  </w:style>
  <w:style w:type="paragraph" w:styleId="BodyText2">
    <w:name w:val="Body Text 2"/>
    <w:basedOn w:val="Normal"/>
    <w:link w:val="BodyText2Char"/>
    <w:semiHidden/>
    <w:unhideWhenUsed/>
    <w:rsid w:val="009E30EE"/>
    <w:pPr>
      <w:spacing w:before="160"/>
      <w:ind w:left="720"/>
      <w:jc w:val="both"/>
    </w:pPr>
    <w:rPr>
      <w:sz w:val="20"/>
    </w:rPr>
  </w:style>
  <w:style w:type="character" w:customStyle="1" w:styleId="BodyText2Char">
    <w:name w:val="Body Text 2 Char"/>
    <w:basedOn w:val="DefaultParagraphFont"/>
    <w:link w:val="BodyText2"/>
    <w:semiHidden/>
    <w:rsid w:val="009E30EE"/>
    <w:rPr>
      <w:rFonts w:ascii="Times New Roman" w:eastAsia="Times New Roman" w:hAnsi="Times New Roman" w:cs="Times New Roman"/>
      <w:sz w:val="20"/>
      <w:szCs w:val="24"/>
    </w:rPr>
  </w:style>
  <w:style w:type="paragraph" w:styleId="BodyText3">
    <w:name w:val="Body Text 3"/>
    <w:basedOn w:val="Normal"/>
    <w:link w:val="BodyText3Char"/>
    <w:unhideWhenUsed/>
    <w:rsid w:val="009E30EE"/>
    <w:pPr>
      <w:jc w:val="both"/>
    </w:pPr>
    <w:rPr>
      <w:sz w:val="20"/>
      <w:szCs w:val="16"/>
    </w:rPr>
  </w:style>
  <w:style w:type="character" w:customStyle="1" w:styleId="BodyText3Char">
    <w:name w:val="Body Text 3 Char"/>
    <w:basedOn w:val="DefaultParagraphFont"/>
    <w:link w:val="BodyText3"/>
    <w:rsid w:val="009E30EE"/>
    <w:rPr>
      <w:rFonts w:ascii="Times New Roman" w:eastAsia="Times New Roman" w:hAnsi="Times New Roman" w:cs="Times New Roman"/>
      <w:sz w:val="20"/>
      <w:szCs w:val="16"/>
    </w:rPr>
  </w:style>
  <w:style w:type="paragraph" w:customStyle="1" w:styleId="Level3">
    <w:name w:val="Level3"/>
    <w:rsid w:val="009E30EE"/>
    <w:pPr>
      <w:numPr>
        <w:ilvl w:val="2"/>
        <w:numId w:val="1"/>
      </w:numPr>
      <w:spacing w:before="160" w:line="240" w:lineRule="auto"/>
      <w:jc w:val="both"/>
    </w:pPr>
    <w:rPr>
      <w:rFonts w:ascii="Times New Roman" w:eastAsia="Times New Roman" w:hAnsi="Times New Roman" w:cs="Times New Roman"/>
      <w:sz w:val="20"/>
      <w:szCs w:val="20"/>
      <w:lang w:val="en-GB"/>
    </w:rPr>
  </w:style>
  <w:style w:type="paragraph" w:customStyle="1" w:styleId="Default">
    <w:name w:val="Default"/>
    <w:rsid w:val="009E30EE"/>
    <w:pPr>
      <w:autoSpaceDE w:val="0"/>
      <w:autoSpaceDN w:val="0"/>
      <w:adjustRightInd w:val="0"/>
      <w:spacing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E30EE"/>
    <w:rPr>
      <w:rFonts w:ascii="Tahoma" w:hAnsi="Tahoma" w:cs="Tahoma"/>
      <w:sz w:val="16"/>
      <w:szCs w:val="16"/>
    </w:rPr>
  </w:style>
  <w:style w:type="character" w:customStyle="1" w:styleId="BalloonTextChar">
    <w:name w:val="Balloon Text Char"/>
    <w:basedOn w:val="DefaultParagraphFont"/>
    <w:link w:val="BalloonText"/>
    <w:uiPriority w:val="99"/>
    <w:semiHidden/>
    <w:rsid w:val="009E30EE"/>
    <w:rPr>
      <w:rFonts w:ascii="Tahoma" w:eastAsia="Times New Roman" w:hAnsi="Tahoma" w:cs="Tahoma"/>
      <w:sz w:val="16"/>
      <w:szCs w:val="16"/>
    </w:rPr>
  </w:style>
  <w:style w:type="paragraph" w:customStyle="1" w:styleId="AODocTxt">
    <w:name w:val="AODocTxt"/>
    <w:basedOn w:val="Normal"/>
    <w:rsid w:val="002D075E"/>
    <w:pPr>
      <w:numPr>
        <w:numId w:val="5"/>
      </w:numPr>
      <w:spacing w:before="240" w:line="260" w:lineRule="atLeast"/>
      <w:jc w:val="both"/>
    </w:pPr>
    <w:rPr>
      <w:rFonts w:eastAsia="SimSun"/>
      <w:sz w:val="22"/>
      <w:szCs w:val="22"/>
      <w:lang w:val="en-GB"/>
    </w:rPr>
  </w:style>
  <w:style w:type="paragraph" w:customStyle="1" w:styleId="AOA">
    <w:name w:val="AO(A)"/>
    <w:basedOn w:val="Normal"/>
    <w:next w:val="AODocTxt"/>
    <w:rsid w:val="002D075E"/>
    <w:pPr>
      <w:numPr>
        <w:numId w:val="6"/>
      </w:numPr>
      <w:spacing w:before="240" w:line="260" w:lineRule="atLeast"/>
      <w:jc w:val="both"/>
    </w:pPr>
    <w:rPr>
      <w:rFonts w:eastAsia="SimSun"/>
      <w:sz w:val="22"/>
      <w:szCs w:val="22"/>
      <w:lang w:val="en-GB"/>
    </w:rPr>
  </w:style>
  <w:style w:type="paragraph" w:customStyle="1" w:styleId="AODocTxtL1">
    <w:name w:val="AODocTxtL1"/>
    <w:basedOn w:val="AODocTxt"/>
    <w:rsid w:val="002D075E"/>
    <w:pPr>
      <w:numPr>
        <w:ilvl w:val="1"/>
      </w:numPr>
    </w:pPr>
  </w:style>
  <w:style w:type="paragraph" w:customStyle="1" w:styleId="AODocTxtL2">
    <w:name w:val="AODocTxtL2"/>
    <w:basedOn w:val="AODocTxt"/>
    <w:rsid w:val="002D075E"/>
    <w:pPr>
      <w:numPr>
        <w:ilvl w:val="2"/>
      </w:numPr>
    </w:pPr>
  </w:style>
  <w:style w:type="paragraph" w:customStyle="1" w:styleId="AODocTxtL3">
    <w:name w:val="AODocTxtL3"/>
    <w:basedOn w:val="AODocTxt"/>
    <w:rsid w:val="002D075E"/>
    <w:pPr>
      <w:numPr>
        <w:ilvl w:val="3"/>
      </w:numPr>
    </w:pPr>
  </w:style>
  <w:style w:type="paragraph" w:customStyle="1" w:styleId="AODocTxtL4">
    <w:name w:val="AODocTxtL4"/>
    <w:basedOn w:val="AODocTxt"/>
    <w:rsid w:val="002D075E"/>
    <w:pPr>
      <w:numPr>
        <w:ilvl w:val="4"/>
      </w:numPr>
    </w:pPr>
  </w:style>
  <w:style w:type="paragraph" w:customStyle="1" w:styleId="AODocTxtL5">
    <w:name w:val="AODocTxtL5"/>
    <w:basedOn w:val="AODocTxt"/>
    <w:rsid w:val="002D075E"/>
    <w:pPr>
      <w:numPr>
        <w:ilvl w:val="5"/>
      </w:numPr>
    </w:pPr>
  </w:style>
  <w:style w:type="paragraph" w:customStyle="1" w:styleId="AODocTxtL6">
    <w:name w:val="AODocTxtL6"/>
    <w:basedOn w:val="AODocTxt"/>
    <w:rsid w:val="002D075E"/>
    <w:pPr>
      <w:numPr>
        <w:ilvl w:val="6"/>
      </w:numPr>
    </w:pPr>
  </w:style>
  <w:style w:type="paragraph" w:customStyle="1" w:styleId="AODocTxtL7">
    <w:name w:val="AODocTxtL7"/>
    <w:basedOn w:val="AODocTxt"/>
    <w:rsid w:val="002D075E"/>
    <w:pPr>
      <w:numPr>
        <w:ilvl w:val="7"/>
      </w:numPr>
    </w:pPr>
  </w:style>
  <w:style w:type="paragraph" w:customStyle="1" w:styleId="AODocTxtL8">
    <w:name w:val="AODocTxtL8"/>
    <w:basedOn w:val="AODocTxt"/>
    <w:rsid w:val="002D075E"/>
    <w:pPr>
      <w:numPr>
        <w:ilvl w:val="8"/>
      </w:numPr>
    </w:pPr>
  </w:style>
  <w:style w:type="paragraph" w:customStyle="1" w:styleId="AOHead1">
    <w:name w:val="AOHead1"/>
    <w:basedOn w:val="Normal"/>
    <w:next w:val="AODocTxtL1"/>
    <w:rsid w:val="002D075E"/>
    <w:pPr>
      <w:keepNext/>
      <w:numPr>
        <w:numId w:val="7"/>
      </w:numPr>
      <w:spacing w:before="240" w:line="260" w:lineRule="atLeast"/>
      <w:jc w:val="both"/>
      <w:outlineLvl w:val="0"/>
    </w:pPr>
    <w:rPr>
      <w:rFonts w:eastAsia="SimSun"/>
      <w:b/>
      <w:caps/>
      <w:kern w:val="28"/>
      <w:sz w:val="22"/>
      <w:szCs w:val="22"/>
      <w:lang w:val="en-GB"/>
    </w:rPr>
  </w:style>
  <w:style w:type="paragraph" w:customStyle="1" w:styleId="AOHead2">
    <w:name w:val="AOHead2"/>
    <w:basedOn w:val="Normal"/>
    <w:next w:val="AODocTxtL1"/>
    <w:rsid w:val="002D075E"/>
    <w:pPr>
      <w:keepNext/>
      <w:numPr>
        <w:ilvl w:val="1"/>
        <w:numId w:val="7"/>
      </w:numPr>
      <w:spacing w:before="240" w:line="260" w:lineRule="atLeast"/>
      <w:jc w:val="both"/>
      <w:outlineLvl w:val="1"/>
    </w:pPr>
    <w:rPr>
      <w:rFonts w:eastAsia="SimSun"/>
      <w:b/>
      <w:sz w:val="22"/>
      <w:szCs w:val="22"/>
      <w:lang w:val="en-GB"/>
    </w:rPr>
  </w:style>
  <w:style w:type="paragraph" w:customStyle="1" w:styleId="AOHead3">
    <w:name w:val="AOHead3"/>
    <w:basedOn w:val="Normal"/>
    <w:next w:val="AODocTxtL2"/>
    <w:rsid w:val="002D075E"/>
    <w:pPr>
      <w:numPr>
        <w:ilvl w:val="2"/>
        <w:numId w:val="7"/>
      </w:numPr>
      <w:spacing w:before="240" w:line="260" w:lineRule="atLeast"/>
      <w:jc w:val="both"/>
      <w:outlineLvl w:val="2"/>
    </w:pPr>
    <w:rPr>
      <w:rFonts w:eastAsia="SimSun"/>
      <w:sz w:val="22"/>
      <w:szCs w:val="22"/>
      <w:lang w:val="en-GB"/>
    </w:rPr>
  </w:style>
  <w:style w:type="paragraph" w:customStyle="1" w:styleId="AOHead4">
    <w:name w:val="AOHead4"/>
    <w:basedOn w:val="Normal"/>
    <w:next w:val="AODocTxtL3"/>
    <w:rsid w:val="002D075E"/>
    <w:pPr>
      <w:numPr>
        <w:ilvl w:val="3"/>
        <w:numId w:val="7"/>
      </w:numPr>
      <w:spacing w:before="240" w:line="260" w:lineRule="atLeast"/>
      <w:jc w:val="both"/>
      <w:outlineLvl w:val="3"/>
    </w:pPr>
    <w:rPr>
      <w:rFonts w:eastAsia="SimSun"/>
      <w:sz w:val="22"/>
      <w:szCs w:val="22"/>
      <w:lang w:val="en-GB"/>
    </w:rPr>
  </w:style>
  <w:style w:type="paragraph" w:customStyle="1" w:styleId="AOHead5">
    <w:name w:val="AOHead5"/>
    <w:basedOn w:val="Normal"/>
    <w:next w:val="AODocTxtL4"/>
    <w:rsid w:val="002D075E"/>
    <w:pPr>
      <w:numPr>
        <w:ilvl w:val="4"/>
        <w:numId w:val="7"/>
      </w:numPr>
      <w:spacing w:before="240" w:line="260" w:lineRule="atLeast"/>
      <w:jc w:val="both"/>
      <w:outlineLvl w:val="4"/>
    </w:pPr>
    <w:rPr>
      <w:rFonts w:eastAsia="SimSun"/>
      <w:sz w:val="22"/>
      <w:szCs w:val="22"/>
      <w:lang w:val="en-GB"/>
    </w:rPr>
  </w:style>
  <w:style w:type="paragraph" w:customStyle="1" w:styleId="AOHead6">
    <w:name w:val="AOHead6"/>
    <w:basedOn w:val="Normal"/>
    <w:next w:val="AODocTxtL5"/>
    <w:rsid w:val="002D075E"/>
    <w:pPr>
      <w:numPr>
        <w:ilvl w:val="5"/>
        <w:numId w:val="7"/>
      </w:numPr>
      <w:spacing w:before="240" w:line="260" w:lineRule="atLeast"/>
      <w:jc w:val="both"/>
      <w:outlineLvl w:val="5"/>
    </w:pPr>
    <w:rPr>
      <w:rFonts w:eastAsia="SimSun"/>
      <w:sz w:val="22"/>
      <w:szCs w:val="22"/>
      <w:lang w:val="en-GB"/>
    </w:rPr>
  </w:style>
  <w:style w:type="paragraph" w:customStyle="1" w:styleId="AOAltHead1">
    <w:name w:val="AOAltHead1"/>
    <w:basedOn w:val="AOHead1"/>
    <w:next w:val="AODocTxtL1"/>
    <w:rsid w:val="002D075E"/>
    <w:pPr>
      <w:keepNext w:val="0"/>
    </w:pPr>
    <w:rPr>
      <w:b w:val="0"/>
      <w:cap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List 3" w:uiPriority="0"/>
    <w:lsdException w:name="List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0EE"/>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30EE"/>
    <w:pPr>
      <w:keepNext/>
      <w:numPr>
        <w:numId w:val="1"/>
      </w:numPr>
      <w:spacing w:before="160"/>
      <w:outlineLvl w:val="0"/>
    </w:pPr>
    <w:rPr>
      <w:rFonts w:cs="Arial"/>
      <w:b/>
      <w:bCs/>
      <w:kern w:val="32"/>
      <w:sz w:val="20"/>
      <w:szCs w:val="32"/>
    </w:rPr>
  </w:style>
  <w:style w:type="paragraph" w:styleId="Heading2">
    <w:name w:val="heading 2"/>
    <w:basedOn w:val="Normal"/>
    <w:next w:val="Normal"/>
    <w:link w:val="Heading2Char"/>
    <w:semiHidden/>
    <w:unhideWhenUsed/>
    <w:qFormat/>
    <w:rsid w:val="009E30EE"/>
    <w:pPr>
      <w:spacing w:before="160"/>
      <w:jc w:val="both"/>
      <w:outlineLvl w:val="1"/>
    </w:pPr>
    <w:rPr>
      <w:rFonts w:cs="Arial"/>
      <w:bCs/>
      <w:iCs/>
      <w:sz w:val="20"/>
      <w:szCs w:val="28"/>
    </w:rPr>
  </w:style>
  <w:style w:type="paragraph" w:styleId="Heading3">
    <w:name w:val="heading 3"/>
    <w:basedOn w:val="Normal"/>
    <w:next w:val="Normal"/>
    <w:link w:val="Heading3Char"/>
    <w:semiHidden/>
    <w:unhideWhenUsed/>
    <w:qFormat/>
    <w:rsid w:val="009E30EE"/>
    <w:pPr>
      <w:spacing w:before="160"/>
      <w:ind w:left="180"/>
      <w:jc w:val="both"/>
      <w:outlineLvl w:val="2"/>
    </w:pPr>
    <w:rPr>
      <w:rFonts w:cs="Arial"/>
      <w:bCs/>
      <w:sz w:val="20"/>
      <w:szCs w:val="26"/>
    </w:rPr>
  </w:style>
  <w:style w:type="paragraph" w:styleId="Heading4">
    <w:name w:val="heading 4"/>
    <w:basedOn w:val="Normal"/>
    <w:next w:val="Normal"/>
    <w:link w:val="Heading4Char"/>
    <w:unhideWhenUsed/>
    <w:qFormat/>
    <w:rsid w:val="009E30EE"/>
    <w:pPr>
      <w:numPr>
        <w:ilvl w:val="3"/>
        <w:numId w:val="1"/>
      </w:numPr>
      <w:spacing w:before="160"/>
      <w:jc w:val="both"/>
      <w:outlineLvl w:val="3"/>
    </w:pPr>
    <w:rPr>
      <w:bCs/>
      <w:sz w:val="20"/>
      <w:szCs w:val="28"/>
    </w:rPr>
  </w:style>
  <w:style w:type="paragraph" w:styleId="Heading5">
    <w:name w:val="heading 5"/>
    <w:basedOn w:val="Normal"/>
    <w:next w:val="Normal"/>
    <w:link w:val="Heading5Char"/>
    <w:semiHidden/>
    <w:unhideWhenUsed/>
    <w:qFormat/>
    <w:rsid w:val="009E30EE"/>
    <w:pPr>
      <w:numPr>
        <w:ilvl w:val="4"/>
        <w:numId w:val="1"/>
      </w:numPr>
      <w:spacing w:before="160"/>
      <w:jc w:val="both"/>
      <w:outlineLvl w:val="4"/>
    </w:pPr>
    <w:rPr>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30EE"/>
    <w:rPr>
      <w:rFonts w:ascii="Times New Roman" w:eastAsia="Times New Roman" w:hAnsi="Times New Roman" w:cs="Arial"/>
      <w:b/>
      <w:bCs/>
      <w:kern w:val="32"/>
      <w:sz w:val="20"/>
      <w:szCs w:val="32"/>
    </w:rPr>
  </w:style>
  <w:style w:type="character" w:customStyle="1" w:styleId="Heading2Char">
    <w:name w:val="Heading 2 Char"/>
    <w:basedOn w:val="DefaultParagraphFont"/>
    <w:link w:val="Heading2"/>
    <w:semiHidden/>
    <w:rsid w:val="009E30EE"/>
    <w:rPr>
      <w:rFonts w:ascii="Times New Roman" w:eastAsia="Times New Roman" w:hAnsi="Times New Roman" w:cs="Arial"/>
      <w:bCs/>
      <w:iCs/>
      <w:sz w:val="20"/>
      <w:szCs w:val="28"/>
    </w:rPr>
  </w:style>
  <w:style w:type="character" w:customStyle="1" w:styleId="Heading3Char">
    <w:name w:val="Heading 3 Char"/>
    <w:basedOn w:val="DefaultParagraphFont"/>
    <w:link w:val="Heading3"/>
    <w:semiHidden/>
    <w:rsid w:val="009E30EE"/>
    <w:rPr>
      <w:rFonts w:ascii="Times New Roman" w:eastAsia="Times New Roman" w:hAnsi="Times New Roman" w:cs="Arial"/>
      <w:bCs/>
      <w:sz w:val="20"/>
      <w:szCs w:val="26"/>
    </w:rPr>
  </w:style>
  <w:style w:type="character" w:customStyle="1" w:styleId="Heading4Char">
    <w:name w:val="Heading 4 Char"/>
    <w:basedOn w:val="DefaultParagraphFont"/>
    <w:link w:val="Heading4"/>
    <w:rsid w:val="009E30EE"/>
    <w:rPr>
      <w:rFonts w:ascii="Times New Roman" w:eastAsia="Times New Roman" w:hAnsi="Times New Roman" w:cs="Times New Roman"/>
      <w:bCs/>
      <w:sz w:val="20"/>
      <w:szCs w:val="28"/>
    </w:rPr>
  </w:style>
  <w:style w:type="character" w:customStyle="1" w:styleId="Heading5Char">
    <w:name w:val="Heading 5 Char"/>
    <w:basedOn w:val="DefaultParagraphFont"/>
    <w:link w:val="Heading5"/>
    <w:semiHidden/>
    <w:rsid w:val="009E30EE"/>
    <w:rPr>
      <w:rFonts w:ascii="Times New Roman" w:eastAsia="Times New Roman" w:hAnsi="Times New Roman" w:cs="Times New Roman"/>
      <w:bCs/>
      <w:iCs/>
      <w:sz w:val="20"/>
      <w:szCs w:val="26"/>
    </w:rPr>
  </w:style>
  <w:style w:type="paragraph" w:styleId="List">
    <w:name w:val="List"/>
    <w:basedOn w:val="Normal"/>
    <w:semiHidden/>
    <w:unhideWhenUsed/>
    <w:rsid w:val="009E30EE"/>
    <w:pPr>
      <w:numPr>
        <w:numId w:val="2"/>
      </w:numPr>
      <w:spacing w:before="160"/>
      <w:jc w:val="both"/>
    </w:pPr>
    <w:rPr>
      <w:sz w:val="20"/>
    </w:rPr>
  </w:style>
  <w:style w:type="paragraph" w:styleId="List2">
    <w:name w:val="List 2"/>
    <w:basedOn w:val="Normal"/>
    <w:semiHidden/>
    <w:unhideWhenUsed/>
    <w:rsid w:val="009E30EE"/>
    <w:pPr>
      <w:numPr>
        <w:ilvl w:val="1"/>
        <w:numId w:val="2"/>
      </w:numPr>
      <w:spacing w:before="160"/>
      <w:jc w:val="both"/>
    </w:pPr>
    <w:rPr>
      <w:sz w:val="20"/>
    </w:rPr>
  </w:style>
  <w:style w:type="paragraph" w:styleId="List3">
    <w:name w:val="List 3"/>
    <w:basedOn w:val="Normal"/>
    <w:semiHidden/>
    <w:unhideWhenUsed/>
    <w:rsid w:val="009E30EE"/>
    <w:pPr>
      <w:numPr>
        <w:ilvl w:val="2"/>
        <w:numId w:val="2"/>
      </w:numPr>
      <w:spacing w:before="160"/>
      <w:ind w:left="720"/>
      <w:jc w:val="both"/>
    </w:pPr>
    <w:rPr>
      <w:sz w:val="20"/>
    </w:rPr>
  </w:style>
  <w:style w:type="paragraph" w:styleId="List4">
    <w:name w:val="List 4"/>
    <w:basedOn w:val="Normal"/>
    <w:semiHidden/>
    <w:unhideWhenUsed/>
    <w:rsid w:val="009E30EE"/>
    <w:pPr>
      <w:numPr>
        <w:ilvl w:val="3"/>
        <w:numId w:val="2"/>
      </w:numPr>
      <w:spacing w:before="160"/>
      <w:jc w:val="both"/>
    </w:pPr>
    <w:rPr>
      <w:sz w:val="20"/>
    </w:rPr>
  </w:style>
  <w:style w:type="paragraph" w:styleId="BodyText">
    <w:name w:val="Body Text"/>
    <w:basedOn w:val="Normal"/>
    <w:link w:val="BodyTextChar"/>
    <w:unhideWhenUsed/>
    <w:rsid w:val="009E30EE"/>
    <w:pPr>
      <w:spacing w:before="160"/>
      <w:jc w:val="both"/>
    </w:pPr>
    <w:rPr>
      <w:sz w:val="20"/>
    </w:rPr>
  </w:style>
  <w:style w:type="character" w:customStyle="1" w:styleId="BodyTextChar">
    <w:name w:val="Body Text Char"/>
    <w:basedOn w:val="DefaultParagraphFont"/>
    <w:link w:val="BodyText"/>
    <w:rsid w:val="009E30EE"/>
    <w:rPr>
      <w:rFonts w:ascii="Times New Roman" w:eastAsia="Times New Roman" w:hAnsi="Times New Roman" w:cs="Times New Roman"/>
      <w:sz w:val="20"/>
      <w:szCs w:val="24"/>
    </w:rPr>
  </w:style>
  <w:style w:type="paragraph" w:styleId="BodyText2">
    <w:name w:val="Body Text 2"/>
    <w:basedOn w:val="Normal"/>
    <w:link w:val="BodyText2Char"/>
    <w:semiHidden/>
    <w:unhideWhenUsed/>
    <w:rsid w:val="009E30EE"/>
    <w:pPr>
      <w:spacing w:before="160"/>
      <w:ind w:left="720"/>
      <w:jc w:val="both"/>
    </w:pPr>
    <w:rPr>
      <w:sz w:val="20"/>
    </w:rPr>
  </w:style>
  <w:style w:type="character" w:customStyle="1" w:styleId="BodyText2Char">
    <w:name w:val="Body Text 2 Char"/>
    <w:basedOn w:val="DefaultParagraphFont"/>
    <w:link w:val="BodyText2"/>
    <w:semiHidden/>
    <w:rsid w:val="009E30EE"/>
    <w:rPr>
      <w:rFonts w:ascii="Times New Roman" w:eastAsia="Times New Roman" w:hAnsi="Times New Roman" w:cs="Times New Roman"/>
      <w:sz w:val="20"/>
      <w:szCs w:val="24"/>
    </w:rPr>
  </w:style>
  <w:style w:type="paragraph" w:styleId="BodyText3">
    <w:name w:val="Body Text 3"/>
    <w:basedOn w:val="Normal"/>
    <w:link w:val="BodyText3Char"/>
    <w:unhideWhenUsed/>
    <w:rsid w:val="009E30EE"/>
    <w:pPr>
      <w:jc w:val="both"/>
    </w:pPr>
    <w:rPr>
      <w:sz w:val="20"/>
      <w:szCs w:val="16"/>
    </w:rPr>
  </w:style>
  <w:style w:type="character" w:customStyle="1" w:styleId="BodyText3Char">
    <w:name w:val="Body Text 3 Char"/>
    <w:basedOn w:val="DefaultParagraphFont"/>
    <w:link w:val="BodyText3"/>
    <w:rsid w:val="009E30EE"/>
    <w:rPr>
      <w:rFonts w:ascii="Times New Roman" w:eastAsia="Times New Roman" w:hAnsi="Times New Roman" w:cs="Times New Roman"/>
      <w:sz w:val="20"/>
      <w:szCs w:val="16"/>
    </w:rPr>
  </w:style>
  <w:style w:type="paragraph" w:customStyle="1" w:styleId="Level3">
    <w:name w:val="Level3"/>
    <w:rsid w:val="009E30EE"/>
    <w:pPr>
      <w:numPr>
        <w:ilvl w:val="2"/>
        <w:numId w:val="1"/>
      </w:numPr>
      <w:spacing w:before="160" w:line="240" w:lineRule="auto"/>
      <w:jc w:val="both"/>
    </w:pPr>
    <w:rPr>
      <w:rFonts w:ascii="Times New Roman" w:eastAsia="Times New Roman" w:hAnsi="Times New Roman" w:cs="Times New Roman"/>
      <w:sz w:val="20"/>
      <w:szCs w:val="20"/>
      <w:lang w:val="en-GB"/>
    </w:rPr>
  </w:style>
  <w:style w:type="paragraph" w:customStyle="1" w:styleId="Default">
    <w:name w:val="Default"/>
    <w:rsid w:val="009E30EE"/>
    <w:pPr>
      <w:autoSpaceDE w:val="0"/>
      <w:autoSpaceDN w:val="0"/>
      <w:adjustRightInd w:val="0"/>
      <w:spacing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E30EE"/>
    <w:rPr>
      <w:rFonts w:ascii="Tahoma" w:hAnsi="Tahoma" w:cs="Tahoma"/>
      <w:sz w:val="16"/>
      <w:szCs w:val="16"/>
    </w:rPr>
  </w:style>
  <w:style w:type="character" w:customStyle="1" w:styleId="BalloonTextChar">
    <w:name w:val="Balloon Text Char"/>
    <w:basedOn w:val="DefaultParagraphFont"/>
    <w:link w:val="BalloonText"/>
    <w:uiPriority w:val="99"/>
    <w:semiHidden/>
    <w:rsid w:val="009E30EE"/>
    <w:rPr>
      <w:rFonts w:ascii="Tahoma" w:eastAsia="Times New Roman" w:hAnsi="Tahoma" w:cs="Tahoma"/>
      <w:sz w:val="16"/>
      <w:szCs w:val="16"/>
    </w:rPr>
  </w:style>
  <w:style w:type="paragraph" w:customStyle="1" w:styleId="AODocTxt">
    <w:name w:val="AODocTxt"/>
    <w:basedOn w:val="Normal"/>
    <w:rsid w:val="002D075E"/>
    <w:pPr>
      <w:numPr>
        <w:numId w:val="5"/>
      </w:numPr>
      <w:spacing w:before="240" w:line="260" w:lineRule="atLeast"/>
      <w:jc w:val="both"/>
    </w:pPr>
    <w:rPr>
      <w:rFonts w:eastAsia="SimSun"/>
      <w:sz w:val="22"/>
      <w:szCs w:val="22"/>
      <w:lang w:val="en-GB"/>
    </w:rPr>
  </w:style>
  <w:style w:type="paragraph" w:customStyle="1" w:styleId="AOA">
    <w:name w:val="AO(A)"/>
    <w:basedOn w:val="Normal"/>
    <w:next w:val="AODocTxt"/>
    <w:rsid w:val="002D075E"/>
    <w:pPr>
      <w:numPr>
        <w:numId w:val="6"/>
      </w:numPr>
      <w:spacing w:before="240" w:line="260" w:lineRule="atLeast"/>
      <w:jc w:val="both"/>
    </w:pPr>
    <w:rPr>
      <w:rFonts w:eastAsia="SimSun"/>
      <w:sz w:val="22"/>
      <w:szCs w:val="22"/>
      <w:lang w:val="en-GB"/>
    </w:rPr>
  </w:style>
  <w:style w:type="paragraph" w:customStyle="1" w:styleId="AODocTxtL1">
    <w:name w:val="AODocTxtL1"/>
    <w:basedOn w:val="AODocTxt"/>
    <w:rsid w:val="002D075E"/>
    <w:pPr>
      <w:numPr>
        <w:ilvl w:val="1"/>
      </w:numPr>
    </w:pPr>
  </w:style>
  <w:style w:type="paragraph" w:customStyle="1" w:styleId="AODocTxtL2">
    <w:name w:val="AODocTxtL2"/>
    <w:basedOn w:val="AODocTxt"/>
    <w:rsid w:val="002D075E"/>
    <w:pPr>
      <w:numPr>
        <w:ilvl w:val="2"/>
      </w:numPr>
    </w:pPr>
  </w:style>
  <w:style w:type="paragraph" w:customStyle="1" w:styleId="AODocTxtL3">
    <w:name w:val="AODocTxtL3"/>
    <w:basedOn w:val="AODocTxt"/>
    <w:rsid w:val="002D075E"/>
    <w:pPr>
      <w:numPr>
        <w:ilvl w:val="3"/>
      </w:numPr>
    </w:pPr>
  </w:style>
  <w:style w:type="paragraph" w:customStyle="1" w:styleId="AODocTxtL4">
    <w:name w:val="AODocTxtL4"/>
    <w:basedOn w:val="AODocTxt"/>
    <w:rsid w:val="002D075E"/>
    <w:pPr>
      <w:numPr>
        <w:ilvl w:val="4"/>
      </w:numPr>
    </w:pPr>
  </w:style>
  <w:style w:type="paragraph" w:customStyle="1" w:styleId="AODocTxtL5">
    <w:name w:val="AODocTxtL5"/>
    <w:basedOn w:val="AODocTxt"/>
    <w:rsid w:val="002D075E"/>
    <w:pPr>
      <w:numPr>
        <w:ilvl w:val="5"/>
      </w:numPr>
    </w:pPr>
  </w:style>
  <w:style w:type="paragraph" w:customStyle="1" w:styleId="AODocTxtL6">
    <w:name w:val="AODocTxtL6"/>
    <w:basedOn w:val="AODocTxt"/>
    <w:rsid w:val="002D075E"/>
    <w:pPr>
      <w:numPr>
        <w:ilvl w:val="6"/>
      </w:numPr>
    </w:pPr>
  </w:style>
  <w:style w:type="paragraph" w:customStyle="1" w:styleId="AODocTxtL7">
    <w:name w:val="AODocTxtL7"/>
    <w:basedOn w:val="AODocTxt"/>
    <w:rsid w:val="002D075E"/>
    <w:pPr>
      <w:numPr>
        <w:ilvl w:val="7"/>
      </w:numPr>
    </w:pPr>
  </w:style>
  <w:style w:type="paragraph" w:customStyle="1" w:styleId="AODocTxtL8">
    <w:name w:val="AODocTxtL8"/>
    <w:basedOn w:val="AODocTxt"/>
    <w:rsid w:val="002D075E"/>
    <w:pPr>
      <w:numPr>
        <w:ilvl w:val="8"/>
      </w:numPr>
    </w:pPr>
  </w:style>
  <w:style w:type="paragraph" w:customStyle="1" w:styleId="AOHead1">
    <w:name w:val="AOHead1"/>
    <w:basedOn w:val="Normal"/>
    <w:next w:val="AODocTxtL1"/>
    <w:rsid w:val="002D075E"/>
    <w:pPr>
      <w:keepNext/>
      <w:numPr>
        <w:numId w:val="7"/>
      </w:numPr>
      <w:spacing w:before="240" w:line="260" w:lineRule="atLeast"/>
      <w:jc w:val="both"/>
      <w:outlineLvl w:val="0"/>
    </w:pPr>
    <w:rPr>
      <w:rFonts w:eastAsia="SimSun"/>
      <w:b/>
      <w:caps/>
      <w:kern w:val="28"/>
      <w:sz w:val="22"/>
      <w:szCs w:val="22"/>
      <w:lang w:val="en-GB"/>
    </w:rPr>
  </w:style>
  <w:style w:type="paragraph" w:customStyle="1" w:styleId="AOHead2">
    <w:name w:val="AOHead2"/>
    <w:basedOn w:val="Normal"/>
    <w:next w:val="AODocTxtL1"/>
    <w:rsid w:val="002D075E"/>
    <w:pPr>
      <w:keepNext/>
      <w:numPr>
        <w:ilvl w:val="1"/>
        <w:numId w:val="7"/>
      </w:numPr>
      <w:spacing w:before="240" w:line="260" w:lineRule="atLeast"/>
      <w:jc w:val="both"/>
      <w:outlineLvl w:val="1"/>
    </w:pPr>
    <w:rPr>
      <w:rFonts w:eastAsia="SimSun"/>
      <w:b/>
      <w:sz w:val="22"/>
      <w:szCs w:val="22"/>
      <w:lang w:val="en-GB"/>
    </w:rPr>
  </w:style>
  <w:style w:type="paragraph" w:customStyle="1" w:styleId="AOHead3">
    <w:name w:val="AOHead3"/>
    <w:basedOn w:val="Normal"/>
    <w:next w:val="AODocTxtL2"/>
    <w:rsid w:val="002D075E"/>
    <w:pPr>
      <w:numPr>
        <w:ilvl w:val="2"/>
        <w:numId w:val="7"/>
      </w:numPr>
      <w:spacing w:before="240" w:line="260" w:lineRule="atLeast"/>
      <w:jc w:val="both"/>
      <w:outlineLvl w:val="2"/>
    </w:pPr>
    <w:rPr>
      <w:rFonts w:eastAsia="SimSun"/>
      <w:sz w:val="22"/>
      <w:szCs w:val="22"/>
      <w:lang w:val="en-GB"/>
    </w:rPr>
  </w:style>
  <w:style w:type="paragraph" w:customStyle="1" w:styleId="AOHead4">
    <w:name w:val="AOHead4"/>
    <w:basedOn w:val="Normal"/>
    <w:next w:val="AODocTxtL3"/>
    <w:rsid w:val="002D075E"/>
    <w:pPr>
      <w:numPr>
        <w:ilvl w:val="3"/>
        <w:numId w:val="7"/>
      </w:numPr>
      <w:spacing w:before="240" w:line="260" w:lineRule="atLeast"/>
      <w:jc w:val="both"/>
      <w:outlineLvl w:val="3"/>
    </w:pPr>
    <w:rPr>
      <w:rFonts w:eastAsia="SimSun"/>
      <w:sz w:val="22"/>
      <w:szCs w:val="22"/>
      <w:lang w:val="en-GB"/>
    </w:rPr>
  </w:style>
  <w:style w:type="paragraph" w:customStyle="1" w:styleId="AOHead5">
    <w:name w:val="AOHead5"/>
    <w:basedOn w:val="Normal"/>
    <w:next w:val="AODocTxtL4"/>
    <w:rsid w:val="002D075E"/>
    <w:pPr>
      <w:numPr>
        <w:ilvl w:val="4"/>
        <w:numId w:val="7"/>
      </w:numPr>
      <w:spacing w:before="240" w:line="260" w:lineRule="atLeast"/>
      <w:jc w:val="both"/>
      <w:outlineLvl w:val="4"/>
    </w:pPr>
    <w:rPr>
      <w:rFonts w:eastAsia="SimSun"/>
      <w:sz w:val="22"/>
      <w:szCs w:val="22"/>
      <w:lang w:val="en-GB"/>
    </w:rPr>
  </w:style>
  <w:style w:type="paragraph" w:customStyle="1" w:styleId="AOHead6">
    <w:name w:val="AOHead6"/>
    <w:basedOn w:val="Normal"/>
    <w:next w:val="AODocTxtL5"/>
    <w:rsid w:val="002D075E"/>
    <w:pPr>
      <w:numPr>
        <w:ilvl w:val="5"/>
        <w:numId w:val="7"/>
      </w:numPr>
      <w:spacing w:before="240" w:line="260" w:lineRule="atLeast"/>
      <w:jc w:val="both"/>
      <w:outlineLvl w:val="5"/>
    </w:pPr>
    <w:rPr>
      <w:rFonts w:eastAsia="SimSun"/>
      <w:sz w:val="22"/>
      <w:szCs w:val="22"/>
      <w:lang w:val="en-GB"/>
    </w:rPr>
  </w:style>
  <w:style w:type="paragraph" w:customStyle="1" w:styleId="AOAltHead1">
    <w:name w:val="AOAltHead1"/>
    <w:basedOn w:val="AOHead1"/>
    <w:next w:val="AODocTxtL1"/>
    <w:rsid w:val="002D075E"/>
    <w:pPr>
      <w:keepNext w:val="0"/>
    </w:pPr>
    <w:rPr>
      <w:b w:val="0"/>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2C963CA0</Template>
  <TotalTime>1</TotalTime>
  <Pages>5</Pages>
  <Words>952</Words>
  <Characters>5429</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Goldman Sachs &amp; Co</Company>
  <LinksUpToDate>false</LinksUpToDate>
  <CharactersWithSpaces>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Pierre</cp:lastModifiedBy>
  <cp:revision>2</cp:revision>
  <cp:lastPrinted>2013-09-23T21:59:00Z</cp:lastPrinted>
  <dcterms:created xsi:type="dcterms:W3CDTF">2013-09-24T22:27:00Z</dcterms:created>
  <dcterms:modified xsi:type="dcterms:W3CDTF">2013-09-24T22:27:00Z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gs.fw.compl.rubi.guid">
    <vt:lpwstr>5eabcc43-9ca5-4006-b407-5fa486eb135c</vt:lpwstr>
  </property>
</Properties>
</file>