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черновик-для-ревью-ibc-nanotex"/>
    <w:p>
      <w:pPr>
        <w:pStyle w:val="Heading1"/>
      </w:pPr>
      <w:r>
        <w:t xml:space="preserve">ЧЕРНОВИК ДЛЯ РЕВЬЮ IBC NANOTEX</w:t>
      </w:r>
    </w:p>
    <w:p>
      <w:pPr>
        <w:pStyle w:val="Block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 v1, подготовлен CRS / TOPAZ COMPANY для экспертной проверки.</w:t>
      </w:r>
      <w:r>
        <w:t xml:space="preserve"> </w:t>
      </w:r>
      <w:r>
        <w:rPr>
          <w:b/>
          <w:bCs/>
        </w:rPr>
        <w:t xml:space="preserve">На ревью:</w:t>
      </w:r>
      <w:r>
        <w:t xml:space="preserve"> </w:t>
      </w:r>
      <w:r>
        <w:t xml:space="preserve">Вячеслав, Булат (IBC Nanotex).</w:t>
      </w:r>
      <w:r>
        <w:t xml:space="preserve"> </w:t>
      </w:r>
      <w:r>
        <w:rPr>
          <w:b/>
          <w:bCs/>
        </w:rPr>
        <w:t xml:space="preserve">Просьба к рецензентам:</w:t>
      </w:r>
      <w:r>
        <w:t xml:space="preserve"> </w:t>
      </w:r>
      <w:r>
        <w:t xml:space="preserve">проверить технические утверждения (методы испытаний, цифры сорбции/выделения волокон, привязку материалов к зонам GMP), при необходимости — поправить и указать, под чьим авторством публиковать.</w:t>
      </w:r>
      <w:r>
        <w:t xml:space="preserve"> </w:t>
      </w:r>
      <w:r>
        <w:rPr>
          <w:b/>
          <w:bCs/>
        </w:rPr>
        <w:t xml:space="preserve">После согласования:</w:t>
      </w:r>
      <w:r>
        <w:t xml:space="preserve"> </w:t>
      </w:r>
      <w:r>
        <w:t xml:space="preserve">CRS публикует на cleanroom.uz/blog с экспертным byline + hreflang, IBC делает репост.</w:t>
      </w:r>
    </w:p>
    <w:p>
      <w:r>
        <w:pict>
          <v:rect style="width:0;height:1.5pt" o:hralign="center" o:hrstd="t" o:hr="t"/>
        </w:pict>
      </w:r>
    </w:p>
    <w:bookmarkStart w:id="9" w:name="метаданные-для-публикации-черновые"/>
    <w:p>
      <w:pPr>
        <w:pStyle w:val="Heading2"/>
      </w:pPr>
      <w:r>
        <w:t xml:space="preserve">Метаданные для публикации (черновые)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 / title (SEO):</w:t>
      </w:r>
      <w:r>
        <w:t xml:space="preserve"> </w:t>
      </w:r>
      <w:r>
        <w:t xml:space="preserve">Безворсовые салфетки для чистых помещений: как выбрать по классам GMP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slug:</w:t>
      </w:r>
      <w:r>
        <w:t xml:space="preserve"> </w:t>
      </w:r>
      <w:r>
        <w:rPr>
          <w:rStyle w:val="VerbatimChar"/>
        </w:rPr>
        <w:t xml:space="preserve">bezvorsovye-salfetki-cleanroom-vybor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meta-description:</w:t>
      </w:r>
      <w:r>
        <w:t xml:space="preserve"> </w:t>
      </w:r>
      <w:r>
        <w:t xml:space="preserve">Как выбрать безворсовые салфетки для чистых помещений: материал (полиэстер, микрофибра, нетканое), выделение волокон, сорбция, стерильность и таблица соответствия зонам GMP A/B/C/D.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Целевые запросы:</w:t>
      </w:r>
      <w:r>
        <w:t xml:space="preserve"> </w:t>
      </w:r>
      <w:r>
        <w:t xml:space="preserve">«безворсовые салфетки для чистых помещений», «салфетки cleanroom», «салфетки для протирки чистых помещений», «стерильные салфетки полиэстер», «выделение волокон салфетки».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Категория:</w:t>
      </w:r>
      <w:r>
        <w:t xml:space="preserve"> </w:t>
      </w:r>
      <w:r>
        <w:t xml:space="preserve">Продукция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Расчётное время чтения:</w:t>
      </w:r>
      <w:r>
        <w:t xml:space="preserve"> </w:t>
      </w:r>
      <w:r>
        <w:t xml:space="preserve">~14 мин</w:t>
      </w:r>
    </w:p>
    <w:p>
      <w:r>
        <w:pict>
          <v:rect style="width:0;height:1.5pt" o:hralign="center" o:hrstd="t" o:hr="t"/>
        </w:pict>
      </w:r>
    </w:p>
    <w:bookmarkEnd w:id="9"/>
    <w:bookmarkStart w:id="10" w:name="X4f814e005d2e925865e8b28f2ee601687f64652"/>
    <w:p>
      <w:pPr>
        <w:pStyle w:val="Heading2"/>
      </w:pPr>
      <w:r>
        <w:t xml:space="preserve">Почему салфетка в чистом помещении — это валидированный расходник, а не «тряпка»</w:t>
      </w:r>
    </w:p>
    <w:p>
      <w:pPr>
        <w:pStyle w:val="FirstParagraph"/>
      </w:pPr>
      <w:r>
        <w:t xml:space="preserve">В фармацевтическом производстве безворсовая салфетка — это не вспомогательный инвентарь, а технологический материал, напрямую влияющий на результат уборки и дезинфекции, а значит — на проходимость GMP-инспекции. Неправильно подобранная салфетка сама становится источником загрязнения: выделяет волокна и частицы, плохо удерживает дезинфектант, оставляет non-volatile residue (NVR) на поверхностях критических зон или вступает в реакцию с активным веществом препарата.</w:t>
      </w:r>
    </w:p>
    <w:p>
      <w:pPr>
        <w:pStyle w:val="BodyText"/>
      </w:pPr>
      <w:r>
        <w:t xml:space="preserve">EU GMP Annex 1 (ред. 2022) требует, чтобы материалы, вносимые в зоны A/B, не были источником контаминации и были совместимы с программой дезинфекции (§4.33, §8.66–8.68). На практике это означает: салфетка для критической зоны должна иметь документированные данные по выделению частиц/волокон, сорбции и стерильности — иначе она не пройдёт supplier qualification, а её применение станет наблюдением (finding) на аудите.</w:t>
      </w:r>
    </w:p>
    <w:p>
      <w:pPr>
        <w:pStyle w:val="BodyText"/>
      </w:pPr>
      <w:r>
        <w:t xml:space="preserve">Для производителей Узбекистана, готовящихся к обязательной GMP-сертификации к 1 января 2027 г., правильный выбор салфеток — один из недооценённых, но обязательных блоков inspection-package: инспектор смотрит не только на наличие SOP по уборке, но и на обоснование выбора расходного материала под класс зоны.</w:t>
      </w:r>
    </w:p>
    <w:bookmarkEnd w:id="10"/>
    <w:bookmarkStart w:id="11" w:name="Xc0da91dd3693fd3ab1e45b008bffb7b33d86339"/>
    <w:p>
      <w:pPr>
        <w:pStyle w:val="Heading2"/>
      </w:pPr>
      <w:r>
        <w:t xml:space="preserve">Из чего делают безворсовые салфетки: материалы и их поведение</w:t>
      </w:r>
    </w:p>
    <w:p>
      <w:pPr>
        <w:pStyle w:val="FirstParagraph"/>
      </w:pPr>
      <w:r>
        <w:t xml:space="preserve">Все cleanroom-салфетки делятся по типу полотна и волокна. От этого зависит главное — сколько частиц и волокон материал выделяет и сколько жидкости удерживает.</w:t>
      </w:r>
    </w:p>
    <w:p>
      <w:pPr>
        <w:pStyle w:val="BodyText"/>
      </w:pPr>
      <w:r>
        <w:rPr>
          <w:b/>
          <w:bCs/>
        </w:rPr>
        <w:t xml:space="preserve">1. Тканые/трикотажные полиэфирные (woven/knit polyester).</w:t>
      </w:r>
      <w:r>
        <w:t xml:space="preserve"> </w:t>
      </w:r>
      <w:r>
        <w:t xml:space="preserve">100% полиэстер, плотность 120–240 г/м². Самый «чистый» по выделению частиц класс при условии запаянного края. Подходят для зон вплоть до GMP A/B. Пример из ассортимента: NPro NGlide NC2S (140 г/м², тканые), NC8S (240 г/м², двухслойные), Contec Polynit Heatseal.</w:t>
      </w:r>
    </w:p>
    <w:p>
      <w:pPr>
        <w:pStyle w:val="BodyText"/>
      </w:pPr>
      <w:r>
        <w:rPr>
          <w:b/>
          <w:bCs/>
        </w:rPr>
        <w:t xml:space="preserve">2. Микрофибра (split-fiber polyester/polyamide).</w:t>
      </w:r>
      <w:r>
        <w:t xml:space="preserve"> </w:t>
      </w:r>
      <w:r>
        <w:t xml:space="preserve">Смесь типа 70–80% полиэстер / 20–30% полиамид. За счёт расщеплённого волокна даёт высокую впитываемость и механическое снятие загрязнений, при этом — низкое выделение волокон. Пример: Hydroflex PurWipe Premio 3030 (80/20, микрофибра, автоклавируемая многоразовая), NPro NGlide NC7S (микрофибра нетканая, стерильная), NC3S (80/20, для зон A/B).</w:t>
      </w:r>
    </w:p>
    <w:p>
      <w:pPr>
        <w:pStyle w:val="BodyText"/>
      </w:pPr>
      <w:r>
        <w:rPr>
          <w:b/>
          <w:bCs/>
        </w:rPr>
        <w:t xml:space="preserve">3. Нетканые (nonwoven): спанлейс (hydroentangled), мелтблаун, смеси с целлюлозой.</w:t>
      </w:r>
      <w:r>
        <w:t xml:space="preserve"> </w:t>
      </w:r>
      <w:r>
        <w:t xml:space="preserve">Дешевле, выше сорбция, но потенциально выше выделение волокон — поэтому, как правило, для зон C/D или для задач с большим объёмом впитывания. Пример: Contec Amplitude Sigma (спанлейс, C/D), Contec SterileSorb (55% целлюлоза / 45% полиэстер — высокая сорбция для сбора проливов).</w:t>
      </w:r>
    </w:p>
    <w:p>
      <w:pPr>
        <w:pStyle w:val="BlockText"/>
      </w:pPr>
      <w:r>
        <w:rPr>
          <w:b/>
          <w:bCs/>
        </w:rPr>
        <w:t xml:space="preserve">Главное правило по материалу:</w:t>
      </w:r>
      <w:r>
        <w:t xml:space="preserve"> </w:t>
      </w:r>
      <w:r>
        <w:t xml:space="preserve">чем выше класс зоны (A/B), тем строже требования к чистоте полотна и краю — там работают тканые полиэфирные и микрофибровые салфетки с запаянным краем; нетканые целлюлозные смеси оставляют для менее критичных зон и сбора жидкости.</w:t>
      </w:r>
    </w:p>
    <w:bookmarkEnd w:id="11"/>
    <w:bookmarkStart w:id="12" w:name="X8c71e07f599c67d695a3ff1758627499a9c1e95"/>
    <w:p>
      <w:pPr>
        <w:pStyle w:val="Heading2"/>
      </w:pPr>
      <w:r>
        <w:t xml:space="preserve">Выделение волокон и частиц: что реально проверять</w:t>
      </w:r>
    </w:p>
    <w:p>
      <w:pPr>
        <w:pStyle w:val="FirstParagraph"/>
      </w:pPr>
      <w:r>
        <w:t xml:space="preserve">Это ключевой параметр, который отличает cleanroom-салфетку от обычной. Обращайте внимание на документированные данные по двум методикам: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IEST-RP-CC004.x</w:t>
      </w:r>
      <w:r>
        <w:t xml:space="preserve"> </w:t>
      </w:r>
      <w:r>
        <w:t xml:space="preserve">— отраслевой стандарт оценки протирочных материалов для чистых помещений (выделение частиц в жидкости, волокон, ионов, экстрактивных веществ, NVR). Если поставщик ссылается на этот стандарт и предоставляет цифры — это маркер серьёзного продукта.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Helmke Drum Test</w:t>
      </w:r>
      <w:r>
        <w:t xml:space="preserve"> </w:t>
      </w:r>
      <w:r>
        <w:t xml:space="preserve">— определение выделения частиц в сухом состоянии (салфетку вращают в барабане, считают частицы). Результат классифицируют (условно Class I–III): чем ниже класс, тем чище материал.</w:t>
      </w:r>
    </w:p>
    <w:p>
      <w:pPr>
        <w:pStyle w:val="FirstParagraph"/>
      </w:pPr>
      <w:r>
        <w:rPr>
          <w:b/>
          <w:bCs/>
        </w:rPr>
        <w:t xml:space="preserve">Край — критичнее самого полотна.</w:t>
      </w:r>
      <w:r>
        <w:t xml:space="preserve"> </w:t>
      </w:r>
      <w:r>
        <w:t xml:space="preserve">Обрезанный «ножницами» край — главный источник волокон. Для критических зон допустимы только салфетки с</w:t>
      </w:r>
      <w:r>
        <w:t xml:space="preserve"> </w:t>
      </w:r>
      <w:r>
        <w:rPr>
          <w:b/>
          <w:bCs/>
        </w:rPr>
        <w:t xml:space="preserve">лазерно-запаянным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термосваренным (ultrasonic/heat-seal)</w:t>
      </w:r>
      <w:r>
        <w:t xml:space="preserve"> </w:t>
      </w:r>
      <w:r>
        <w:t xml:space="preserve">краем. В ассортименте это, например, Contec Polynit Heatseal (лазерная резка края) и Contec Sterile Polynit Heatseal (термосваривание). Салфетка без обработки края в зоне A/B — почти гарантированный источник волокон и потенциальное наблюдение на аудите.</w:t>
      </w:r>
    </w:p>
    <w:bookmarkEnd w:id="12"/>
    <w:bookmarkStart w:id="14" w:name="X3d3a603d0415e4c4d8d40a09d49e44dedb9ce8d"/>
    <w:p>
      <w:pPr>
        <w:pStyle w:val="Heading2"/>
      </w:pPr>
      <w:r>
        <w:t xml:space="preserve">Сорбция: сколько жидкости держит салфетка и зачем это знать</w:t>
      </w:r>
    </w:p>
    <w:p>
      <w:pPr>
        <w:pStyle w:val="FirstParagraph"/>
      </w:pPr>
      <w:r>
        <w:t xml:space="preserve">Два параметра: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Sorptive capacity</w:t>
      </w:r>
      <w:r>
        <w:t xml:space="preserve"> </w:t>
      </w:r>
      <w:r>
        <w:t xml:space="preserve">— сколько жидкости удерживает материал (мл/г или мл/м²).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Sorption rate</w:t>
      </w:r>
      <w:r>
        <w:t xml:space="preserve"> </w:t>
      </w:r>
      <w:r>
        <w:t xml:space="preserve">— как быстро впитывает.</w:t>
      </w:r>
    </w:p>
    <w:p>
      <w:pPr>
        <w:pStyle w:val="FirstParagraph"/>
      </w:pPr>
      <w:r>
        <w:t xml:space="preserve">Почему это важно для фармы: салфетка применяется не «всухую», а как носитель дезинфектанта. Недостаточная сорбция → неравномерное нанесение и недостаточное контактное время препарата (риск недодезинфекции). Избыточная, неконтролируемая сорбция → перерасход дорогого дезинфектанта и подтёки. Под нанесение спиртов и спорицидов обычно берут тканый полиэстер/микрофибру со средней-высокой сорбцией; под сбор проливов и больших объёмов — нетканые целлюлозные смеси (SterileSorb).</w:t>
      </w:r>
    </w:p>
    <w:p>
      <w:pPr>
        <w:pStyle w:val="BlockText"/>
      </w:pPr>
      <w:r>
        <w:t xml:space="preserve">Подобрать расход дезинфектанта под площадь и класс зоны помогает</w:t>
      </w:r>
      <w:r>
        <w:t xml:space="preserve"> </w:t>
      </w:r>
      <w:hyperlink r:id="rId13">
        <w:r>
          <w:rPr>
            <w:rStyle w:val="Hyperlink"/>
          </w:rPr>
          <w:t xml:space="preserve">калькулятор расхода дезинфектанта</w:t>
        </w:r>
      </w:hyperlink>
      <w:r>
        <w:t xml:space="preserve">.</w:t>
      </w:r>
    </w:p>
    <w:bookmarkEnd w:id="14"/>
    <w:bookmarkStart w:id="15" w:name="X83c48945ecb45eb5970a2eeb3ca288c86e06a93"/>
    <w:p>
      <w:pPr>
        <w:pStyle w:val="Heading2"/>
      </w:pPr>
      <w:r>
        <w:t xml:space="preserve">Стерильные vs нестерильные: где без гамма-облучения нельзя</w:t>
      </w:r>
    </w:p>
    <w:p>
      <w:pPr>
        <w:pStyle w:val="FirstParagraph"/>
      </w:pPr>
      <w:r>
        <w:t xml:space="preserve">В зонах</w:t>
      </w:r>
      <w:r>
        <w:t xml:space="preserve"> </w:t>
      </w:r>
      <w:r>
        <w:rPr>
          <w:b/>
          <w:bCs/>
        </w:rPr>
        <w:t xml:space="preserve">GMP A/B</w:t>
      </w:r>
      <w:r>
        <w:t xml:space="preserve"> </w:t>
      </w:r>
      <w:r>
        <w:t xml:space="preserve">(асептический розлив, изоляторы, под ламинаром) применяются только</w:t>
      </w:r>
      <w:r>
        <w:t xml:space="preserve"> </w:t>
      </w:r>
      <w:r>
        <w:rPr>
          <w:b/>
          <w:bCs/>
        </w:rPr>
        <w:t xml:space="preserve">стерильные</w:t>
      </w:r>
      <w:r>
        <w:t xml:space="preserve"> </w:t>
      </w:r>
      <w:r>
        <w:t xml:space="preserve">салфетки — обычно стерилизованные</w:t>
      </w:r>
      <w:r>
        <w:t xml:space="preserve"> </w:t>
      </w:r>
      <w:r>
        <w:rPr>
          <w:b/>
          <w:bCs/>
        </w:rPr>
        <w:t xml:space="preserve">гамма-облучением</w:t>
      </w:r>
      <w:r>
        <w:t xml:space="preserve"> </w:t>
      </w:r>
      <w:r>
        <w:t xml:space="preserve">с подтверждённым уровнем стерильности</w:t>
      </w:r>
      <w:r>
        <w:t xml:space="preserve"> </w:t>
      </w:r>
      <w:r>
        <w:rPr>
          <w:b/>
          <w:bCs/>
        </w:rPr>
        <w:t xml:space="preserve">SAL 10⁻⁶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сертификатом стерильности на партию</w:t>
      </w:r>
      <w:r>
        <w:t xml:space="preserve">. Вносятся они в критическую зону в стерильной упаковке с</w:t>
      </w:r>
      <w:r>
        <w:t xml:space="preserve"> </w:t>
      </w:r>
      <w:r>
        <w:rPr>
          <w:b/>
          <w:bCs/>
        </w:rPr>
        <w:t xml:space="preserve">двойным/тройным пакетированием</w:t>
      </w:r>
      <w:r>
        <w:t xml:space="preserve"> </w:t>
      </w:r>
      <w:r>
        <w:t xml:space="preserve">(double/triple-bagging) для последовательного снятия слоёв на каждом рубеже чистоты.</w:t>
      </w:r>
    </w:p>
    <w:p>
      <w:pPr>
        <w:pStyle w:val="BodyText"/>
      </w:pPr>
      <w:r>
        <w:t xml:space="preserve">В зонах</w:t>
      </w:r>
      <w:r>
        <w:t xml:space="preserve"> </w:t>
      </w:r>
      <w:r>
        <w:rPr>
          <w:b/>
          <w:bCs/>
        </w:rPr>
        <w:t xml:space="preserve">C/D</w:t>
      </w:r>
      <w:r>
        <w:t xml:space="preserve"> </w:t>
      </w:r>
      <w:r>
        <w:t xml:space="preserve">в большинстве рутинных операций допустимы нестерильные салфетки надлежащего класса чистоты. Примеры стерильных позиций под A/B: NPro NGlide NC3S (80/20, GMP A/B), Contec Sterile Polynit Heatseal (гамма, ISO 3–8 / A–D), NPro NC7S/NC8S. Нестерильные под C/D: NPro NC1/NC2, Contec Polynit Heatseal, Amplitude Sigma.</w:t>
      </w:r>
    </w:p>
    <w:p>
      <w:pPr>
        <w:pStyle w:val="BodyText"/>
      </w:pPr>
      <w:r>
        <w:t xml:space="preserve">Подробнее о принципе внесения стерильных расходников и SAL — в материале по стерильным расходникам (готовится).</w:t>
      </w:r>
    </w:p>
    <w:bookmarkEnd w:id="15"/>
    <w:bookmarkStart w:id="16" w:name="Xc1d45a6b6080b82475a34d9c65b966600f9a34a"/>
    <w:p>
      <w:pPr>
        <w:pStyle w:val="Heading2"/>
      </w:pPr>
      <w:r>
        <w:t xml:space="preserve">Таблица: какая салфетка под какую зону GMP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 GMP</w:t>
            </w:r>
          </w:p>
        </w:tc>
        <w:tc>
          <w:tcPr/>
          <w:p>
            <w:pPr>
              <w:pStyle w:val="Compact"/>
            </w:pPr>
            <w:r>
              <w:t xml:space="preserve">Тип салфетки</w:t>
            </w:r>
          </w:p>
        </w:tc>
        <w:tc>
          <w:tcPr/>
          <w:p>
            <w:pPr>
              <w:pStyle w:val="Compact"/>
            </w:pPr>
            <w:r>
              <w:t xml:space="preserve">Материал / край</w:t>
            </w:r>
          </w:p>
        </w:tc>
        <w:tc>
          <w:tcPr/>
          <w:p>
            <w:pPr>
              <w:pStyle w:val="Compact"/>
            </w:pPr>
            <w:r>
              <w:t xml:space="preserve">Стерильность</w:t>
            </w:r>
          </w:p>
        </w:tc>
        <w:tc>
          <w:tcPr/>
          <w:p>
            <w:pPr>
              <w:pStyle w:val="Compact"/>
            </w:pPr>
            <w:r>
              <w:t xml:space="preserve">Примеры из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/ B</w:t>
            </w:r>
            <w:r>
              <w:t xml:space="preserve"> </w:t>
            </w:r>
            <w:r>
              <w:t xml:space="preserve">(асептика, изолятор)</w:t>
            </w:r>
          </w:p>
        </w:tc>
        <w:tc>
          <w:tcPr/>
          <w:p>
            <w:pPr>
              <w:pStyle w:val="Compact"/>
            </w:pPr>
            <w:r>
              <w:t xml:space="preserve">Тканый полиэстер / микрофибра, запаянный край</w:t>
            </w:r>
          </w:p>
        </w:tc>
        <w:tc>
          <w:tcPr/>
          <w:p>
            <w:pPr>
              <w:pStyle w:val="Compact"/>
            </w:pPr>
            <w:r>
              <w:t xml:space="preserve">100% PE или 80/20 PE/PA, лазер/термосварка</w:t>
            </w:r>
          </w:p>
        </w:tc>
        <w:tc>
          <w:tcPr/>
          <w:p>
            <w:pPr>
              <w:pStyle w:val="Compact"/>
            </w:pPr>
            <w:r>
              <w:t xml:space="preserve">Стерильно (гамма, SAL 10⁻⁶), double-bag</w:t>
            </w:r>
          </w:p>
        </w:tc>
        <w:tc>
          <w:tcPr/>
          <w:p>
            <w:pPr>
              <w:pStyle w:val="Compact"/>
            </w:pPr>
            <w:r>
              <w:t xml:space="preserve">NPro NC3S, Contec Sterile Polynit Heatseal, NC8S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(подготовка, вторичка)</w:t>
            </w:r>
          </w:p>
        </w:tc>
        <w:tc>
          <w:tcPr/>
          <w:p>
            <w:pPr>
              <w:pStyle w:val="Compact"/>
            </w:pPr>
            <w:r>
              <w:t xml:space="preserve">Тканый полиэстер / микрофибра</w:t>
            </w:r>
          </w:p>
        </w:tc>
        <w:tc>
          <w:tcPr/>
          <w:p>
            <w:pPr>
              <w:pStyle w:val="Compact"/>
            </w:pPr>
            <w:r>
              <w:t xml:space="preserve">100% PE, 140 г/м²</w:t>
            </w:r>
          </w:p>
        </w:tc>
        <w:tc>
          <w:tcPr/>
          <w:p>
            <w:pPr>
              <w:pStyle w:val="Compact"/>
            </w:pPr>
            <w:r>
              <w:t xml:space="preserve">Стерильно или нестерильно — по операции</w:t>
            </w:r>
          </w:p>
        </w:tc>
        <w:tc>
          <w:tcPr/>
          <w:p>
            <w:pPr>
              <w:pStyle w:val="Compact"/>
            </w:pPr>
            <w:r>
              <w:t xml:space="preserve">NPro NC2S/NC2, Contec Polynit Heatseal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(вспомогательные зоны)</w:t>
            </w:r>
          </w:p>
        </w:tc>
        <w:tc>
          <w:tcPr/>
          <w:p>
            <w:pPr>
              <w:pStyle w:val="Compact"/>
            </w:pPr>
            <w:r>
              <w:t xml:space="preserve">Тканые / нетканые</w:t>
            </w:r>
          </w:p>
        </w:tc>
        <w:tc>
          <w:tcPr/>
          <w:p>
            <w:pPr>
              <w:pStyle w:val="Compact"/>
            </w:pPr>
            <w:r>
              <w:t xml:space="preserve">PE или спанлейс</w:t>
            </w:r>
          </w:p>
        </w:tc>
        <w:tc>
          <w:tcPr/>
          <w:p>
            <w:pPr>
              <w:pStyle w:val="Compact"/>
            </w:pPr>
            <w:r>
              <w:t xml:space="preserve">Нестерильно</w:t>
            </w:r>
          </w:p>
        </w:tc>
        <w:tc>
          <w:tcPr/>
          <w:p>
            <w:pPr>
              <w:pStyle w:val="Compact"/>
            </w:pPr>
            <w:r>
              <w:t xml:space="preserve">NPro NC1, Contec Amplitude Sigma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Сбор проливов / высокая сорбция</w:t>
            </w:r>
          </w:p>
        </w:tc>
        <w:tc>
          <w:tcPr/>
          <w:p>
            <w:pPr>
              <w:pStyle w:val="Compact"/>
            </w:pPr>
            <w:r>
              <w:t xml:space="preserve">Нетканые целлюлоза-микс</w:t>
            </w:r>
          </w:p>
        </w:tc>
        <w:tc>
          <w:tcPr/>
          <w:p>
            <w:pPr>
              <w:pStyle w:val="Compact"/>
            </w:pPr>
            <w:r>
              <w:t xml:space="preserve">55% целлюлоза / 45% PE</w:t>
            </w:r>
          </w:p>
        </w:tc>
        <w:tc>
          <w:tcPr/>
          <w:p>
            <w:pPr>
              <w:pStyle w:val="Compact"/>
            </w:pPr>
            <w:r>
              <w:t xml:space="preserve">Стерильно/нестерильно</w:t>
            </w:r>
          </w:p>
        </w:tc>
        <w:tc>
          <w:tcPr/>
          <w:p>
            <w:pPr>
              <w:pStyle w:val="Compact"/>
            </w:pPr>
            <w:r>
              <w:t xml:space="preserve">Contec SterileSorb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Многоразовая программа (стирка/автоклав)</w:t>
            </w:r>
          </w:p>
        </w:tc>
        <w:tc>
          <w:tcPr/>
          <w:p>
            <w:pPr>
              <w:pStyle w:val="Compact"/>
            </w:pPr>
            <w:r>
              <w:t xml:space="preserve">Микрофибра тканая</w:t>
            </w:r>
          </w:p>
        </w:tc>
        <w:tc>
          <w:tcPr/>
          <w:p>
            <w:pPr>
              <w:pStyle w:val="Compact"/>
            </w:pPr>
            <w:r>
              <w:t xml:space="preserve">80/20 PE/PA, автоклавируемая</w:t>
            </w:r>
          </w:p>
        </w:tc>
        <w:tc>
          <w:tcPr/>
          <w:p>
            <w:pPr>
              <w:pStyle w:val="Compact"/>
            </w:pPr>
            <w:r>
              <w:t xml:space="preserve">Стерилизуется на месте</w:t>
            </w:r>
          </w:p>
        </w:tc>
        <w:tc>
          <w:tcPr/>
          <w:p>
            <w:pPr>
              <w:pStyle w:val="Compact"/>
            </w:pPr>
            <w:r>
              <w:t xml:space="preserve">Hydroflex PurWipe Premio 3030</w:t>
            </w:r>
          </w:p>
        </w:tc>
      </w:tr>
    </w:tbl>
    <w:p>
      <w:pPr>
        <w:pStyle w:val="BodyText"/>
      </w:pPr>
      <w:r>
        <w:rPr>
          <w:i/>
          <w:iCs/>
        </w:rPr>
        <w:t xml:space="preserve">(Рецензентов IBC просим выверить привязку конкретных артикулов к зонам и при необходимости поправить.)</w:t>
      </w:r>
    </w:p>
    <w:bookmarkEnd w:id="16"/>
    <w:bookmarkStart w:id="19" w:name="совместимость-с-дезинфектантами"/>
    <w:p>
      <w:pPr>
        <w:pStyle w:val="Heading2"/>
      </w:pPr>
      <w:r>
        <w:t xml:space="preserve">Совместимость с дезинфектантами</w:t>
      </w:r>
    </w:p>
    <w:p>
      <w:pPr>
        <w:pStyle w:val="FirstParagraph"/>
      </w:pPr>
      <w:r>
        <w:t xml:space="preserve">Полиэфирные и микрофибровые салфетки химически инертны и совместимы с основными группами дезинфектантов: спирты (IPA 70%, этанол), перекись водорода, надуксусная кислота, ЧАС. Целлюлозосодержащие нетканые материалы при длительном контакте с сильными окислителями (пероксид, надуксусная кислота) могут деградировать — это учитывают при выборе под спорицидную обработку. Совместимость салфетки и дезинфектанта должна быть отражена в программе дезинфекции и, в идеале, подтверждена данными поставщика.</w:t>
      </w:r>
    </w:p>
    <w:p>
      <w:pPr>
        <w:pStyle w:val="BodyText"/>
      </w:pPr>
      <w:r>
        <w:t xml:space="preserve">См. также:</w:t>
      </w:r>
      <w:r>
        <w:t xml:space="preserve"> </w:t>
      </w:r>
      <w:hyperlink r:id="rId17">
        <w:r>
          <w:rPr>
            <w:rStyle w:val="Hyperlink"/>
          </w:rPr>
          <w:t xml:space="preserve">гайд по выбору дезинфектантов</w:t>
        </w:r>
      </w:hyperlink>
      <w:r>
        <w:t xml:space="preserve"> </w:t>
      </w:r>
      <w:r>
        <w:t xml:space="preserve">и</w:t>
      </w:r>
      <w:r>
        <w:t xml:space="preserve"> </w:t>
      </w:r>
      <w:hyperlink r:id="rId18">
        <w:r>
          <w:rPr>
            <w:rStyle w:val="Hyperlink"/>
          </w:rPr>
          <w:t xml:space="preserve">схему ротации §8.66 Annex 1</w:t>
        </w:r>
      </w:hyperlink>
      <w:r>
        <w:t xml:space="preserve">.</w:t>
      </w:r>
    </w:p>
    <w:bookmarkEnd w:id="19"/>
    <w:bookmarkStart w:id="20" w:name="чек-лист-выбора-7-критериев"/>
    <w:p>
      <w:pPr>
        <w:pStyle w:val="Heading2"/>
      </w:pPr>
      <w:r>
        <w:t xml:space="preserve">Чек-лист выбора: 7 критериев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Класс зоны (ISO/GMP)</w:t>
      </w:r>
      <w:r>
        <w:t xml:space="preserve"> </w:t>
      </w:r>
      <w:r>
        <w:t xml:space="preserve">— отправная точка; определяет требования к чистоте полотна и краю.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Тип края</w:t>
      </w:r>
      <w:r>
        <w:t xml:space="preserve"> </w:t>
      </w:r>
      <w:r>
        <w:t xml:space="preserve">— для A/B только лазерно-запаянный/термосваренный.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Данные по выделению частиц/волокон</w:t>
      </w:r>
      <w:r>
        <w:t xml:space="preserve"> </w:t>
      </w:r>
      <w:r>
        <w:t xml:space="preserve">— IEST-RP-CC004 и/или Helmke Drum в документации.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Сорбция</w:t>
      </w:r>
      <w:r>
        <w:t xml:space="preserve"> </w:t>
      </w:r>
      <w:r>
        <w:t xml:space="preserve">— capacity и rate под задачу (нанесение дезинфектанта vs сбор жидкости).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Стерильность</w:t>
      </w:r>
      <w:r>
        <w:t xml:space="preserve"> </w:t>
      </w:r>
      <w:r>
        <w:t xml:space="preserve">— для A/B гамма + SAL 10⁻⁶ + сертификат стерильности на партию + double-bag.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Химсовместимость</w:t>
      </w:r>
      <w:r>
        <w:t xml:space="preserve"> </w:t>
      </w:r>
      <w:r>
        <w:t xml:space="preserve">с применяемыми дезинфектантами.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Документы и стабильность поставки</w:t>
      </w:r>
      <w:r>
        <w:t xml:space="preserve"> </w:t>
      </w:r>
      <w:r>
        <w:t xml:space="preserve">— TDS, CoA, регистрация, срок хранения, воспроизводимость партий.</w:t>
      </w:r>
    </w:p>
    <w:bookmarkEnd w:id="20"/>
    <w:bookmarkStart w:id="21" w:name="какие-документы-требовать-у-поставщика"/>
    <w:p>
      <w:pPr>
        <w:pStyle w:val="Heading2"/>
      </w:pPr>
      <w:r>
        <w:t xml:space="preserve">Какие документы требовать у поставщика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TDS</w:t>
      </w:r>
      <w:r>
        <w:t xml:space="preserve"> </w:t>
      </w:r>
      <w:r>
        <w:t xml:space="preserve">(Technical Data Sheet) — материал, плотность, размер, край, класс чистоты.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CoA / CoC</w:t>
      </w:r>
      <w:r>
        <w:t xml:space="preserve"> </w:t>
      </w:r>
      <w:r>
        <w:t xml:space="preserve">на партию.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Сертификат стерильности на партию</w:t>
      </w:r>
      <w:r>
        <w:t xml:space="preserve"> </w:t>
      </w:r>
      <w:r>
        <w:t xml:space="preserve">(для стерильных позиций) + метод и доза гамма-облучения, SAL.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Данные по выделению частиц/волокон</w:t>
      </w:r>
      <w:r>
        <w:t xml:space="preserve"> </w:t>
      </w:r>
      <w:r>
        <w:t xml:space="preserve">(IEST-RP-CC004 / Helmke), NVR, ионы — для критических зон.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Данные совместимости</w:t>
      </w:r>
      <w:r>
        <w:t xml:space="preserve"> </w:t>
      </w:r>
      <w:r>
        <w:t xml:space="preserve">с дезинфектантами.</w:t>
      </w:r>
    </w:p>
    <w:p>
      <w:pPr>
        <w:pStyle w:val="Compact"/>
        <w:numPr>
          <w:ilvl w:val="0"/>
          <w:numId w:val="1005"/>
        </w:numPr>
      </w:pPr>
      <w:r>
        <w:t xml:space="preserve">Для рынка Узбекистана — наличие регистрации/деклараций, под которые выстраивается supplier qualification.</w:t>
      </w:r>
    </w:p>
    <w:bookmarkEnd w:id="21"/>
    <w:bookmarkStart w:id="23" w:name="подбор-под-сценарий"/>
    <w:p>
      <w:pPr>
        <w:pStyle w:val="Heading2"/>
      </w:pPr>
      <w:r>
        <w:t xml:space="preserve">Подбор под сценарий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Асептический розлив, изолятор (A/B):</w:t>
      </w:r>
      <w:r>
        <w:t xml:space="preserve"> </w:t>
      </w:r>
      <w:r>
        <w:t xml:space="preserve">стерильная тканая/микрофибровая салфетка с запаянным краем, гамма, double-bag — NPro NC3S, Contec Sterile Polynit Heatseal.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Подготовка, грануляция, вторичная упаковка (C):</w:t>
      </w:r>
      <w:r>
        <w:t xml:space="preserve"> </w:t>
      </w:r>
      <w:r>
        <w:t xml:space="preserve">тканый полиэстер 140 г/м² — NPro NC2/NC2S, Contec Polynit Heatseal.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Вспомогательные зоны, склад API (D):</w:t>
      </w:r>
      <w:r>
        <w:t xml:space="preserve"> </w:t>
      </w:r>
      <w:r>
        <w:t xml:space="preserve">нетканые/тканые нестерильные — NPro NC1, Amplitude Sigma.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Сбор проливов:</w:t>
      </w:r>
      <w:r>
        <w:t xml:space="preserve"> </w:t>
      </w:r>
      <w:r>
        <w:t xml:space="preserve">высокосорбционные нетканые — Contec SterileSorb.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Снижение затрат на расходники:</w:t>
      </w:r>
      <w:r>
        <w:t xml:space="preserve"> </w:t>
      </w:r>
      <w:r>
        <w:t xml:space="preserve">многоразовая микрофибра с автоклавированием — Hydroflex PurWipe Premio (до ~10 циклов).</w:t>
      </w:r>
    </w:p>
    <w:p>
      <w:pPr>
        <w:pStyle w:val="FirstParagraph"/>
      </w:pPr>
      <w:r>
        <w:t xml:space="preserve">Полный ассортимент с TDS и спецификациями — в каталоге</w:t>
      </w:r>
      <w:r>
        <w:t xml:space="preserve"> </w:t>
      </w:r>
      <w:hyperlink r:id="rId22">
        <w:r>
          <w:rPr>
            <w:rStyle w:val="Hyperlink"/>
          </w:rPr>
          <w:t xml:space="preserve">салфетки для чистых помещений</w:t>
        </w:r>
      </w:hyperlink>
      <w:r>
        <w:t xml:space="preserve">.</w:t>
      </w:r>
    </w:p>
    <w:bookmarkEnd w:id="23"/>
    <w:bookmarkStart w:id="24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Чем cleanroom-салфетка отличается от обычной безворсовой?</w:t>
      </w:r>
      <w:r>
        <w:t xml:space="preserve"> </w:t>
      </w:r>
      <w:r>
        <w:t xml:space="preserve">Документированным выделением частиц/волокон, обработанным краем, контролируемой сорбцией, классом чистоты под ISO/GMP и (для стерильных) подтверждённой стерильностью партии.</w:t>
      </w:r>
    </w:p>
    <w:p>
      <w:pPr>
        <w:pStyle w:val="BodyText"/>
      </w:pPr>
      <w:r>
        <w:rPr>
          <w:b/>
          <w:bCs/>
        </w:rPr>
        <w:t xml:space="preserve">Можно ли в зоне A использовать нестерильную салфетку?</w:t>
      </w:r>
      <w:r>
        <w:t xml:space="preserve"> </w:t>
      </w:r>
      <w:r>
        <w:t xml:space="preserve">Нет. В A/B — только стерильные с SAL 10⁻⁶, внесённые с соблюдением double/triple-bagging.</w:t>
      </w:r>
    </w:p>
    <w:p>
      <w:pPr>
        <w:pStyle w:val="BodyText"/>
      </w:pPr>
      <w:r>
        <w:rPr>
          <w:b/>
          <w:bCs/>
        </w:rPr>
        <w:t xml:space="preserve">Тканые или нетканые — что чище?</w:t>
      </w:r>
      <w:r>
        <w:t xml:space="preserve"> </w:t>
      </w:r>
      <w:r>
        <w:t xml:space="preserve">При запаянном крае тканый полиэстер обычно даёт меньшее выделение волокон и предпочтителен для высоких классов; нетканые целлюлозные смеси — для сорбции и менее критичных зон.</w:t>
      </w:r>
    </w:p>
    <w:p>
      <w:pPr>
        <w:pStyle w:val="BodyText"/>
      </w:pPr>
      <w:r>
        <w:rPr>
          <w:b/>
          <w:bCs/>
        </w:rPr>
        <w:t xml:space="preserve">Как правильно складывать салфетку?</w:t>
      </w:r>
      <w:r>
        <w:t xml:space="preserve"> </w:t>
      </w:r>
      <w:r>
        <w:t xml:space="preserve">Стандарт — четвертное сложение (quarter-fold): даёт несколько чистых рабочих поверхностей, протирка в одном направлении без возврата по очищенному участку.</w:t>
      </w:r>
    </w:p>
    <w:p>
      <w:r>
        <w:pict>
          <v:rect style="width:0;height:1.5pt" o:hralign="center" o:hrstd="t" o:hr="t"/>
        </w:pict>
      </w:r>
    </w:p>
    <w:bookmarkEnd w:id="24"/>
    <w:bookmarkStart w:id="27" w:name="призыв-к-действию-для-публикации"/>
    <w:p>
      <w:pPr>
        <w:pStyle w:val="Heading2"/>
      </w:pPr>
      <w:r>
        <w:t xml:space="preserve">Призыв к действию (для публикации)</w:t>
      </w:r>
    </w:p>
    <w:p>
      <w:pPr>
        <w:pStyle w:val="FirstParagraph"/>
      </w:pPr>
      <w:r>
        <w:t xml:space="preserve">CRS / TOPAZ COMPANY поставляет безворсовые салфетки под все классы зон с полным compliance-пакетом (TDS, CoA, сертификаты стерильности) и помогает выстроить supplier qualification расходников под требования Annex 1. Нужна подборка салфеток под ваши зоны и программу дезинфекции —</w:t>
      </w:r>
      <w:r>
        <w:t xml:space="preserve"> </w:t>
      </w:r>
      <w:hyperlink r:id="rId25">
        <w:r>
          <w:rPr>
            <w:rStyle w:val="Hyperlink"/>
          </w:rPr>
          <w:t xml:space="preserve">запросите консультацию</w:t>
        </w:r>
      </w:hyperlink>
      <w:r>
        <w:t xml:space="preserve"> </w:t>
      </w:r>
      <w:r>
        <w:t xml:space="preserve">или</w:t>
      </w:r>
      <w:r>
        <w:t xml:space="preserve"> </w:t>
      </w:r>
      <w:hyperlink r:id="rId26">
        <w:r>
          <w:rPr>
            <w:rStyle w:val="Hyperlink"/>
          </w:rPr>
          <w:t xml:space="preserve">бесплатную диагностику готовности к GMP-2027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/blog/dezinfektanty-cleanroom-vybor-2026-gajd" TargetMode="External" /><Relationship Type="http://schemas.openxmlformats.org/officeDocument/2006/relationships/hyperlink" Id="rId18" Target="/blog/rotaciya-dezinfektantov-annex-1-praktika" TargetMode="External" /><Relationship Type="http://schemas.openxmlformats.org/officeDocument/2006/relationships/hyperlink" Id="rId22" Target="/catalog/cleanroom-wipes" TargetMode="External" /><Relationship Type="http://schemas.openxmlformats.org/officeDocument/2006/relationships/hyperlink" Id="rId25" Target="/contacts" TargetMode="External" /><Relationship Type="http://schemas.openxmlformats.org/officeDocument/2006/relationships/hyperlink" Id="rId26" Target="/gmp-podgotovka" TargetMode="External" /><Relationship Type="http://schemas.openxmlformats.org/officeDocument/2006/relationships/hyperlink" Id="rId13" Target="/tools/disinfectant-calculat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/blog/dezinfektanty-cleanroom-vybor-2026-gajd" TargetMode="External" /><Relationship Type="http://schemas.openxmlformats.org/officeDocument/2006/relationships/hyperlink" Id="rId18" Target="/blog/rotaciya-dezinfektantov-annex-1-praktika" TargetMode="External" /><Relationship Type="http://schemas.openxmlformats.org/officeDocument/2006/relationships/hyperlink" Id="rId22" Target="/catalog/cleanroom-wipes" TargetMode="External" /><Relationship Type="http://schemas.openxmlformats.org/officeDocument/2006/relationships/hyperlink" Id="rId25" Target="/contacts" TargetMode="External" /><Relationship Type="http://schemas.openxmlformats.org/officeDocument/2006/relationships/hyperlink" Id="rId26" Target="/gmp-podgotovka" TargetMode="External" /><Relationship Type="http://schemas.openxmlformats.org/officeDocument/2006/relationships/hyperlink" Id="rId13" Target="/tools/disinfectant-calcula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2026-06-02T17:12:42Z</dcterms:created>
  <dcterms:modified xsi:type="dcterms:W3CDTF">2026-06-02T17:12:42Z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