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PRD</w:t>
      </w:r>
    </w:p>
    <w:p>
      <w:pPr>
        <w:jc w:val="center"/>
      </w:pPr>
      <w:r>
        <w:rPr>
          <w:b/>
        </w:rPr>
        <w:t>BAPENDA LOCAL AI DATA INTELLIGENCE PLATFORM</w:t>
        <w:br/>
      </w:r>
      <w:r>
        <w:t>Version 1.0</w:t>
        <w:br/>
        <w:t>Confidential – Internal Use Only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Business Objectives</w:t>
      </w:r>
    </w:p>
    <w:p>
      <w:pPr>
        <w:pStyle w:val="ListNumber"/>
      </w:pPr>
      <w:r>
        <w:t>3. Stakeholders</w:t>
      </w:r>
    </w:p>
    <w:p>
      <w:pPr>
        <w:pStyle w:val="ListNumber"/>
      </w:pPr>
      <w:r>
        <w:t>4. Functional Requirements</w:t>
      </w:r>
    </w:p>
    <w:p>
      <w:pPr>
        <w:pStyle w:val="ListNumber"/>
      </w:pPr>
      <w:r>
        <w:t>5. Non-Functional Requirements</w:t>
      </w:r>
    </w:p>
    <w:p>
      <w:pPr>
        <w:pStyle w:val="ListNumber"/>
      </w:pPr>
      <w:r>
        <w:t>6. Enterprise Architecture</w:t>
      </w:r>
    </w:p>
    <w:p>
      <w:pPr>
        <w:pStyle w:val="ListNumber"/>
      </w:pPr>
      <w:r>
        <w:t>7. Security &amp; Zero Trust</w:t>
      </w:r>
    </w:p>
    <w:p>
      <w:pPr>
        <w:pStyle w:val="ListNumber"/>
      </w:pPr>
      <w:r>
        <w:t>8. RBAC &amp; Data Scope</w:t>
      </w:r>
    </w:p>
    <w:p>
      <w:pPr>
        <w:pStyle w:val="ListNumber"/>
      </w:pPr>
      <w:r>
        <w:t>9. MCP Specification</w:t>
      </w:r>
    </w:p>
    <w:p>
      <w:pPr>
        <w:pStyle w:val="ListNumber"/>
      </w:pPr>
      <w:r>
        <w:t>10. RAG Architecture</w:t>
      </w:r>
    </w:p>
    <w:p>
      <w:pPr>
        <w:pStyle w:val="ListNumber"/>
      </w:pPr>
      <w:r>
        <w:t>11. Database Integration</w:t>
      </w:r>
    </w:p>
    <w:p>
      <w:pPr>
        <w:pStyle w:val="ListNumber"/>
      </w:pPr>
      <w:r>
        <w:t>12. API Design</w:t>
      </w:r>
    </w:p>
    <w:p>
      <w:pPr>
        <w:pStyle w:val="ListNumber"/>
      </w:pPr>
      <w:r>
        <w:t>13. Frontend Modules</w:t>
      </w:r>
    </w:p>
    <w:p>
      <w:pPr>
        <w:pStyle w:val="ListNumber"/>
      </w:pPr>
      <w:r>
        <w:t>14. Audit &amp; Observability</w:t>
      </w:r>
    </w:p>
    <w:p>
      <w:pPr>
        <w:pStyle w:val="ListNumber"/>
      </w:pPr>
      <w:r>
        <w:t>15. Infrastructure &amp; Hardware</w:t>
      </w:r>
    </w:p>
    <w:p>
      <w:pPr>
        <w:pStyle w:val="ListNumber"/>
      </w:pPr>
      <w:r>
        <w:t>16. Testing Strategy</w:t>
      </w:r>
    </w:p>
    <w:p>
      <w:pPr>
        <w:pStyle w:val="ListNumber"/>
      </w:pPr>
      <w:r>
        <w:t>17. Deployment</w:t>
      </w:r>
    </w:p>
    <w:p>
      <w:pPr>
        <w:pStyle w:val="ListNumber"/>
      </w:pPr>
      <w:r>
        <w:t>18. Roadmap</w:t>
      </w:r>
    </w:p>
    <w:p>
      <w:pPr>
        <w:pStyle w:val="ListNumber"/>
      </w:pPr>
      <w:r>
        <w:t>19. Acceptance Criteria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Platform AI internal untuk membantu staf Bapenda melakukan pencarian, analisis, dan pelaporan data pajak menggunakan Local LLM tanpa mengirim data ke cloud. Database resmi tetap menjadi source of truth.</w:t>
      </w:r>
    </w:p>
    <w:p>
      <w:pPr>
        <w:pStyle w:val="Heading1"/>
      </w:pPr>
      <w:r>
        <w:t>2. Business Objectives</w:t>
      </w:r>
    </w:p>
    <w:p>
      <w:pPr>
        <w:pStyle w:val="ListBullet"/>
      </w:pPr>
      <w:r>
        <w:t>Mengurangi waktu pencarian informasi pajak.</w:t>
      </w:r>
    </w:p>
    <w:p>
      <w:pPr>
        <w:pStyle w:val="ListBullet"/>
      </w:pPr>
      <w:r>
        <w:t>Menyediakan jawaban berbasis data resmi.</w:t>
      </w:r>
    </w:p>
    <w:p>
      <w:pPr>
        <w:pStyle w:val="ListBullet"/>
      </w:pPr>
      <w:r>
        <w:t>Mendukung Oracle, PostgreSQL, MySQL, dan dokumen regulasi.</w:t>
      </w:r>
    </w:p>
    <w:p>
      <w:pPr>
        <w:pStyle w:val="ListBullet"/>
      </w:pPr>
      <w:r>
        <w:t>Memenuhi prinsip keamanan pemerintahan (least privilege, audit, zero trust).</w:t>
      </w:r>
    </w:p>
    <w:p>
      <w:pPr>
        <w:pStyle w:val="Heading1"/>
      </w:pPr>
      <w:r>
        <w:t>3.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t>Role</w:t>
            </w:r>
          </w:p>
        </w:tc>
        <w:tc>
          <w:tcPr>
            <w:tcW w:type="dxa" w:w="2767"/>
          </w:tcPr>
          <w:p>
            <w:r>
              <w:t>Tanggung Jawab</w:t>
            </w:r>
          </w:p>
        </w:tc>
        <w:tc>
          <w:tcPr>
            <w:tcW w:type="dxa" w:w="2767"/>
          </w:tcPr>
          <w:p>
            <w:r>
              <w:t>Hak Akses</w:t>
            </w:r>
          </w:p>
        </w:tc>
      </w:tr>
      <w:tr>
        <w:tc>
          <w:tcPr>
            <w:tcW w:type="dxa" w:w="2767"/>
          </w:tcPr>
          <w:p>
            <w:r>
              <w:t>Admin</w:t>
            </w:r>
          </w:p>
        </w:tc>
        <w:tc>
          <w:tcPr>
            <w:tcW w:type="dxa" w:w="2767"/>
          </w:tcPr>
          <w:p>
            <w:r>
              <w:t>Kelola sistem</w:t>
            </w:r>
          </w:p>
        </w:tc>
        <w:tc>
          <w:tcPr>
            <w:tcW w:type="dxa" w:w="2767"/>
          </w:tcPr>
          <w:p>
            <w:r>
              <w:t>Full</w:t>
            </w:r>
          </w:p>
        </w:tc>
      </w:tr>
      <w:tr>
        <w:tc>
          <w:tcPr>
            <w:tcW w:type="dxa" w:w="2767"/>
          </w:tcPr>
          <w:p>
            <w:r>
              <w:t>Supervisor</w:t>
            </w:r>
          </w:p>
        </w:tc>
        <w:tc>
          <w:tcPr>
            <w:tcW w:type="dxa" w:w="2767"/>
          </w:tcPr>
          <w:p>
            <w:r>
              <w:t>Monitoring wilayah</w:t>
            </w:r>
          </w:p>
        </w:tc>
        <w:tc>
          <w:tcPr>
            <w:tcW w:type="dxa" w:w="2767"/>
          </w:tcPr>
          <w:p>
            <w:r>
              <w:t>Regional</w:t>
            </w:r>
          </w:p>
        </w:tc>
      </w:tr>
      <w:tr>
        <w:tc>
          <w:tcPr>
            <w:tcW w:type="dxa" w:w="2767"/>
          </w:tcPr>
          <w:p>
            <w:r>
              <w:t>Analyst</w:t>
            </w:r>
          </w:p>
        </w:tc>
        <w:tc>
          <w:tcPr>
            <w:tcW w:type="dxa" w:w="2767"/>
          </w:tcPr>
          <w:p>
            <w:r>
              <w:t>Analisis data</w:t>
            </w:r>
          </w:p>
        </w:tc>
        <w:tc>
          <w:tcPr>
            <w:tcW w:type="dxa" w:w="2767"/>
          </w:tcPr>
          <w:p>
            <w:r>
              <w:t>Analitik</w:t>
            </w:r>
          </w:p>
        </w:tc>
      </w:tr>
      <w:tr>
        <w:tc>
          <w:tcPr>
            <w:tcW w:type="dxa" w:w="2767"/>
          </w:tcPr>
          <w:p>
            <w:r>
              <w:t>Staff</w:t>
            </w:r>
          </w:p>
        </w:tc>
        <w:tc>
          <w:tcPr>
            <w:tcW w:type="dxa" w:w="2767"/>
          </w:tcPr>
          <w:p>
            <w:r>
              <w:t>Operasional</w:t>
            </w:r>
          </w:p>
        </w:tc>
        <w:tc>
          <w:tcPr>
            <w:tcW w:type="dxa" w:w="2767"/>
          </w:tcPr>
          <w:p>
            <w:r>
              <w:t>Scope Unit</w:t>
            </w:r>
          </w:p>
        </w:tc>
      </w:tr>
    </w:tbl>
    <w:p>
      <w:pPr>
        <w:pStyle w:val="Heading1"/>
      </w:pPr>
      <w:r>
        <w:t>4. Functional Requirements</w:t>
      </w:r>
    </w:p>
    <w:p>
      <w:pPr>
        <w:pStyle w:val="ListBullet"/>
      </w:pPr>
      <w:r>
        <w:t>Chat AI Bahasa Indonesia</w:t>
      </w:r>
    </w:p>
    <w:p>
      <w:pPr>
        <w:pStyle w:val="ListBullet"/>
      </w:pPr>
      <w:r>
        <w:t>Tool Calling melalui MCP</w:t>
      </w:r>
    </w:p>
    <w:p>
      <w:pPr>
        <w:pStyle w:val="ListBullet"/>
      </w:pPr>
      <w:r>
        <w:t>RAG Dokumen Perda/SOP</w:t>
      </w:r>
    </w:p>
    <w:p>
      <w:pPr>
        <w:pStyle w:val="ListBullet"/>
      </w:pPr>
      <w:r>
        <w:t>Streaming Response</w:t>
      </w:r>
    </w:p>
    <w:p>
      <w:pPr>
        <w:pStyle w:val="ListBullet"/>
      </w:pPr>
      <w:r>
        <w:t>Citation &amp; Grounding</w:t>
      </w:r>
    </w:p>
    <w:p>
      <w:pPr>
        <w:pStyle w:val="ListBullet"/>
      </w:pPr>
      <w:r>
        <w:t>Conversation History</w:t>
      </w:r>
    </w:p>
    <w:p>
      <w:pPr>
        <w:pStyle w:val="ListBullet"/>
      </w:pPr>
      <w:r>
        <w:t>Role Based Access Control</w:t>
      </w:r>
    </w:p>
    <w:p>
      <w:pPr>
        <w:pStyle w:val="ListBullet"/>
      </w:pPr>
      <w:r>
        <w:t>Audit Log</w:t>
      </w:r>
    </w:p>
    <w:p>
      <w:pPr>
        <w:pStyle w:val="ListBullet"/>
      </w:pPr>
      <w:r>
        <w:t>Admin Document Management</w:t>
      </w:r>
    </w:p>
    <w:p>
      <w:pPr>
        <w:pStyle w:val="ListBullet"/>
      </w:pPr>
      <w:r>
        <w:t>Health Monitoring</w:t>
      </w:r>
    </w:p>
    <w:p>
      <w:pPr>
        <w:pStyle w:val="Heading1"/>
      </w:pPr>
      <w:r>
        <w:t>5.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t>Kategori</w:t>
            </w:r>
          </w:p>
        </w:tc>
        <w:tc>
          <w:tcPr>
            <w:tcW w:type="dxa" w:w="4150"/>
          </w:tcPr>
          <w:p>
            <w:r>
              <w:t>Target</w:t>
            </w:r>
          </w:p>
        </w:tc>
      </w:tr>
      <w:tr>
        <w:tc>
          <w:tcPr>
            <w:tcW w:type="dxa" w:w="4150"/>
          </w:tcPr>
          <w:p>
            <w:r>
              <w:t>Availability</w:t>
            </w:r>
          </w:p>
        </w:tc>
        <w:tc>
          <w:tcPr>
            <w:tcW w:type="dxa" w:w="4150"/>
          </w:tcPr>
          <w:p>
            <w:r>
              <w:t>99% Internal</w:t>
            </w:r>
          </w:p>
        </w:tc>
      </w:tr>
      <w:tr>
        <w:tc>
          <w:tcPr>
            <w:tcW w:type="dxa" w:w="4150"/>
          </w:tcPr>
          <w:p>
            <w:r>
              <w:t>Concurrent Active Users</w:t>
            </w:r>
          </w:p>
        </w:tc>
        <w:tc>
          <w:tcPr>
            <w:tcW w:type="dxa" w:w="4150"/>
          </w:tcPr>
          <w:p>
            <w:r>
              <w:t>10–20</w:t>
            </w:r>
          </w:p>
        </w:tc>
      </w:tr>
      <w:tr>
        <w:tc>
          <w:tcPr>
            <w:tcW w:type="dxa" w:w="4150"/>
          </w:tcPr>
          <w:p>
            <w:r>
              <w:t>Registered Users</w:t>
            </w:r>
          </w:p>
        </w:tc>
        <w:tc>
          <w:tcPr>
            <w:tcW w:type="dxa" w:w="4150"/>
          </w:tcPr>
          <w:p>
            <w:r>
              <w:t>100+</w:t>
            </w:r>
          </w:p>
        </w:tc>
      </w:tr>
      <w:tr>
        <w:tc>
          <w:tcPr>
            <w:tcW w:type="dxa" w:w="4150"/>
          </w:tcPr>
          <w:p>
            <w:r>
              <w:t>Latency</w:t>
            </w:r>
          </w:p>
        </w:tc>
        <w:tc>
          <w:tcPr>
            <w:tcW w:type="dxa" w:w="4150"/>
          </w:tcPr>
          <w:p>
            <w:r>
              <w:t>3–8 detik</w:t>
            </w:r>
          </w:p>
        </w:tc>
      </w:tr>
      <w:tr>
        <w:tc>
          <w:tcPr>
            <w:tcW w:type="dxa" w:w="4150"/>
          </w:tcPr>
          <w:p>
            <w:r>
              <w:t>Database Access</w:t>
            </w:r>
          </w:p>
        </w:tc>
        <w:tc>
          <w:tcPr>
            <w:tcW w:type="dxa" w:w="4150"/>
          </w:tcPr>
          <w:p>
            <w:r>
              <w:t>Read Only</w:t>
            </w:r>
          </w:p>
        </w:tc>
      </w:tr>
      <w:tr>
        <w:tc>
          <w:tcPr>
            <w:tcW w:type="dxa" w:w="4150"/>
          </w:tcPr>
          <w:p>
            <w:r>
              <w:t>Security</w:t>
            </w:r>
          </w:p>
        </w:tc>
        <w:tc>
          <w:tcPr>
            <w:tcW w:type="dxa" w:w="4150"/>
          </w:tcPr>
          <w:p>
            <w:r>
              <w:t>Zero Trust</w:t>
            </w:r>
          </w:p>
        </w:tc>
      </w:tr>
    </w:tbl>
    <w:p>
      <w:pPr>
        <w:pStyle w:val="Heading1"/>
      </w:pPr>
      <w:r>
        <w:t>6. Enterprise Architecture</w:t>
      </w:r>
    </w:p>
    <w:p>
      <w:r>
        <w:t>Alur utama: Staff → Next.js → FastAPI → Auth/RBAC → Input Security → Qwen Local LLM → MCP Router → Oracle/PostgreSQL/MySQL/RAG → Grounding → Output.</w:t>
      </w:r>
    </w:p>
    <w:p>
      <w:pPr>
        <w:pStyle w:val="Heading1"/>
      </w:pPr>
      <w:r>
        <w:t>7. Security &amp; Zero Trust</w:t>
      </w:r>
    </w:p>
    <w:p>
      <w:pPr>
        <w:pStyle w:val="ListBullet"/>
      </w:pPr>
      <w:r>
        <w:t>LLM bukan security boundary</w:t>
      </w:r>
    </w:p>
    <w:p>
      <w:pPr>
        <w:pStyle w:val="ListBullet"/>
      </w:pPr>
      <w:r>
        <w:t>Prompt Injection Protection</w:t>
      </w:r>
    </w:p>
    <w:p>
      <w:pPr>
        <w:pStyle w:val="ListBullet"/>
      </w:pPr>
      <w:r>
        <w:t>System Prompt Protection</w:t>
      </w:r>
    </w:p>
    <w:p>
      <w:pPr>
        <w:pStyle w:val="ListBullet"/>
      </w:pPr>
      <w:r>
        <w:t>Read-only Database</w:t>
      </w:r>
    </w:p>
    <w:p>
      <w:pPr>
        <w:pStyle w:val="ListBullet"/>
      </w:pPr>
      <w:r>
        <w:t>Query Validation</w:t>
      </w:r>
    </w:p>
    <w:p>
      <w:pPr>
        <w:pStyle w:val="ListBullet"/>
      </w:pPr>
      <w:r>
        <w:t>Sensitive Data Detection</w:t>
      </w:r>
    </w:p>
    <w:p>
      <w:pPr>
        <w:pStyle w:val="ListBullet"/>
      </w:pPr>
      <w:r>
        <w:t>Output Guardrail</w:t>
      </w:r>
    </w:p>
    <w:p>
      <w:pPr>
        <w:pStyle w:val="ListBullet"/>
      </w:pPr>
      <w:r>
        <w:t>Append-only Audit Log</w:t>
      </w:r>
    </w:p>
    <w:p>
      <w:pPr>
        <w:pStyle w:val="Heading1"/>
      </w:pPr>
      <w:r>
        <w:t>8. RBAC &amp; Data Scope</w:t>
      </w:r>
    </w:p>
    <w:p>
      <w:r>
        <w:t>Setiap user memiliki Role, Permission, dan Data Scope (Provinsi/Kota/Kecamatan/Unit). Scope ditegakkan backend sebelum tool dipanggil.</w:t>
      </w:r>
    </w:p>
    <w:p>
      <w:pPr>
        <w:pStyle w:val="Heading1"/>
      </w:pPr>
      <w:r>
        <w:t>9. MCP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t>MCP</w:t>
            </w:r>
          </w:p>
        </w:tc>
        <w:tc>
          <w:tcPr>
            <w:tcW w:type="dxa" w:w="4150"/>
          </w:tcPr>
          <w:p>
            <w:r>
              <w:t>Tools</w:t>
            </w:r>
          </w:p>
        </w:tc>
      </w:tr>
      <w:tr>
        <w:tc>
          <w:tcPr>
            <w:tcW w:type="dxa" w:w="4150"/>
          </w:tcPr>
          <w:p>
            <w:r>
              <w:t>Oracle</w:t>
            </w:r>
          </w:p>
        </w:tc>
        <w:tc>
          <w:tcPr>
            <w:tcW w:type="dxa" w:w="4150"/>
          </w:tcPr>
          <w:p>
            <w:r>
              <w:t>get_tax_revenue, get_tax_arrears, get_target_realization</w:t>
            </w:r>
          </w:p>
        </w:tc>
      </w:tr>
      <w:tr>
        <w:tc>
          <w:tcPr>
            <w:tcW w:type="dxa" w:w="4150"/>
          </w:tcPr>
          <w:p>
            <w:r>
              <w:t>PostgreSQL</w:t>
            </w:r>
          </w:p>
        </w:tc>
        <w:tc>
          <w:tcPr>
            <w:tcW w:type="dxa" w:w="4150"/>
          </w:tcPr>
          <w:p>
            <w:r>
              <w:t>get_growth_statistics, get_monthly_trend</w:t>
            </w:r>
          </w:p>
        </w:tc>
      </w:tr>
      <w:tr>
        <w:tc>
          <w:tcPr>
            <w:tcW w:type="dxa" w:w="4150"/>
          </w:tcPr>
          <w:p>
            <w:r>
              <w:t>MySQL</w:t>
            </w:r>
          </w:p>
        </w:tc>
        <w:tc>
          <w:tcPr>
            <w:tcW w:type="dxa" w:w="4150"/>
          </w:tcPr>
          <w:p>
            <w:r>
              <w:t>get_region, get_tax_type</w:t>
            </w:r>
          </w:p>
        </w:tc>
      </w:tr>
      <w:tr>
        <w:tc>
          <w:tcPr>
            <w:tcW w:type="dxa" w:w="4150"/>
          </w:tcPr>
          <w:p>
            <w:r>
              <w:t>RAG</w:t>
            </w:r>
          </w:p>
        </w:tc>
        <w:tc>
          <w:tcPr>
            <w:tcW w:type="dxa" w:w="4150"/>
          </w:tcPr>
          <w:p>
            <w:r>
              <w:t>search_regulation, search_sop, search_policy</w:t>
            </w:r>
          </w:p>
        </w:tc>
      </w:tr>
    </w:tbl>
    <w:p>
      <w:r>
        <w:t>Larangan: Tidak boleh menyediakan execute_sql(sql) bebas.</w:t>
      </w:r>
    </w:p>
    <w:p>
      <w:pPr>
        <w:pStyle w:val="Heading1"/>
      </w:pPr>
      <w:r>
        <w:t>10. RAG Architecture</w:t>
      </w:r>
    </w:p>
    <w:p>
      <w:r>
        <w:t>PDF → OCR → Chunking → Embedding → Qdrant → Metadata Filter → Retrieval → Citation.</w:t>
      </w:r>
    </w:p>
    <w:p>
      <w:pPr>
        <w:pStyle w:val="Heading1"/>
      </w:pPr>
      <w:r>
        <w:t>11. Database Integration</w:t>
      </w:r>
    </w:p>
    <w:p>
      <w:r>
        <w:t>Gunakan AI_READONLY dan VIEW resmi. Semua query parameterized, timeout, row limit, dan scope enforcement.</w:t>
      </w:r>
    </w:p>
    <w:p>
      <w:pPr>
        <w:pStyle w:val="Heading1"/>
      </w:pPr>
      <w:r>
        <w:t>12. API Design</w:t>
      </w:r>
    </w:p>
    <w:p>
      <w:pPr>
        <w:pStyle w:val="ListBullet"/>
      </w:pPr>
      <w:r>
        <w:t>POST /api/v1/chat</w:t>
      </w:r>
    </w:p>
    <w:p>
      <w:pPr>
        <w:pStyle w:val="ListBullet"/>
      </w:pPr>
      <w:r>
        <w:t>GET /api/v1/history</w:t>
      </w:r>
    </w:p>
    <w:p>
      <w:pPr>
        <w:pStyle w:val="ListBullet"/>
      </w:pPr>
      <w:r>
        <w:t>GET /api/v1/me</w:t>
      </w:r>
    </w:p>
    <w:p>
      <w:pPr>
        <w:pStyle w:val="ListBullet"/>
      </w:pPr>
      <w:r>
        <w:t>GET /api/v1/health</w:t>
      </w:r>
    </w:p>
    <w:p>
      <w:pPr>
        <w:pStyle w:val="ListBullet"/>
      </w:pPr>
      <w:r>
        <w:t>GET /api/v1/admin/audit</w:t>
      </w:r>
    </w:p>
    <w:p>
      <w:pPr>
        <w:pStyle w:val="Heading1"/>
      </w:pPr>
      <w:r>
        <w:t>13. Frontend Modules</w:t>
      </w:r>
    </w:p>
    <w:p>
      <w:pPr>
        <w:pStyle w:val="ListBullet"/>
      </w:pPr>
      <w:r>
        <w:t>Login</w:t>
      </w:r>
    </w:p>
    <w:p>
      <w:pPr>
        <w:pStyle w:val="ListBullet"/>
      </w:pPr>
      <w:r>
        <w:t>Chat</w:t>
      </w:r>
    </w:p>
    <w:p>
      <w:pPr>
        <w:pStyle w:val="ListBullet"/>
      </w:pPr>
      <w:r>
        <w:t>History</w:t>
      </w:r>
    </w:p>
    <w:p>
      <w:pPr>
        <w:pStyle w:val="ListBullet"/>
      </w:pPr>
      <w:r>
        <w:t>Profile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Document Manager</w:t>
      </w:r>
    </w:p>
    <w:p>
      <w:pPr>
        <w:pStyle w:val="Heading1"/>
      </w:pPr>
      <w:r>
        <w:t>14. Audit &amp; Observability</w:t>
      </w:r>
    </w:p>
    <w:p>
      <w:r>
        <w:t>Audit menyimpan Request ID, User, Intent, Tools, Query ID, Document ID, Latency, Status. Monitoring menggunakan structured logging dan metrics.</w:t>
      </w:r>
    </w:p>
    <w:p>
      <w:pPr>
        <w:pStyle w:val="Heading1"/>
      </w:pPr>
      <w:r>
        <w:t>15. Infrastructure &amp;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t>Komponen</w:t>
            </w:r>
          </w:p>
        </w:tc>
        <w:tc>
          <w:tcPr>
            <w:tcW w:type="dxa" w:w="4150"/>
          </w:tcPr>
          <w:p>
            <w:r>
              <w:t>Rekomendasi</w:t>
            </w:r>
          </w:p>
        </w:tc>
      </w:tr>
      <w:tr>
        <w:tc>
          <w:tcPr>
            <w:tcW w:type="dxa" w:w="4150"/>
          </w:tcPr>
          <w:p>
            <w:r>
              <w:t>CPU</w:t>
            </w:r>
          </w:p>
        </w:tc>
        <w:tc>
          <w:tcPr>
            <w:tcW w:type="dxa" w:w="4150"/>
          </w:tcPr>
          <w:p>
            <w:r>
              <w:t>Ryzen 9 7900 / EPYC</w:t>
            </w:r>
          </w:p>
        </w:tc>
      </w:tr>
      <w:tr>
        <w:tc>
          <w:tcPr>
            <w:tcW w:type="dxa" w:w="4150"/>
          </w:tcPr>
          <w:p>
            <w:r>
              <w:t>RAM</w:t>
            </w:r>
          </w:p>
        </w:tc>
        <w:tc>
          <w:tcPr>
            <w:tcW w:type="dxa" w:w="4150"/>
          </w:tcPr>
          <w:p>
            <w:r>
              <w:t>64 GB ECC</w:t>
            </w:r>
          </w:p>
        </w:tc>
      </w:tr>
      <w:tr>
        <w:tc>
          <w:tcPr>
            <w:tcW w:type="dxa" w:w="4150"/>
          </w:tcPr>
          <w:p>
            <w:r>
              <w:t>GPU</w:t>
            </w:r>
          </w:p>
        </w:tc>
        <w:tc>
          <w:tcPr>
            <w:tcW w:type="dxa" w:w="4150"/>
          </w:tcPr>
          <w:p>
            <w:r>
              <w:t>RTX 4090 24 GB</w:t>
            </w:r>
          </w:p>
        </w:tc>
      </w:tr>
      <w:tr>
        <w:tc>
          <w:tcPr>
            <w:tcW w:type="dxa" w:w="4150"/>
          </w:tcPr>
          <w:p>
            <w:r>
              <w:t>Storage</w:t>
            </w:r>
          </w:p>
        </w:tc>
        <w:tc>
          <w:tcPr>
            <w:tcW w:type="dxa" w:w="4150"/>
          </w:tcPr>
          <w:p>
            <w:r>
              <w:t>2 TB NVMe</w:t>
            </w:r>
          </w:p>
        </w:tc>
      </w:tr>
      <w:tr>
        <w:tc>
          <w:tcPr>
            <w:tcW w:type="dxa" w:w="4150"/>
          </w:tcPr>
          <w:p>
            <w:r>
              <w:t>OS</w:t>
            </w:r>
          </w:p>
        </w:tc>
        <w:tc>
          <w:tcPr>
            <w:tcW w:type="dxa" w:w="4150"/>
          </w:tcPr>
          <w:p>
            <w:r>
              <w:t>Ubuntu Server 24.04</w:t>
            </w:r>
          </w:p>
        </w:tc>
      </w:tr>
      <w:tr>
        <w:tc>
          <w:tcPr>
            <w:tcW w:type="dxa" w:w="4150"/>
          </w:tcPr>
          <w:p>
            <w:r>
              <w:t>Runtime</w:t>
            </w:r>
          </w:p>
        </w:tc>
        <w:tc>
          <w:tcPr>
            <w:tcW w:type="dxa" w:w="4150"/>
          </w:tcPr>
          <w:p>
            <w:r>
              <w:t>vLLM + Qwen 14B</w:t>
            </w:r>
          </w:p>
        </w:tc>
      </w:tr>
    </w:tbl>
    <w:p>
      <w:pPr>
        <w:pStyle w:val="Heading1"/>
      </w:pPr>
      <w:r>
        <w:t>16. Testing Strategy</w:t>
      </w:r>
    </w:p>
    <w:p>
      <w:pPr>
        <w:pStyle w:val="ListBullet"/>
      </w:pPr>
      <w:r>
        <w:t>Unit Test</w:t>
      </w:r>
    </w:p>
    <w:p>
      <w:pPr>
        <w:pStyle w:val="ListBullet"/>
      </w:pPr>
      <w:r>
        <w:t>Integration Test</w:t>
      </w:r>
    </w:p>
    <w:p>
      <w:pPr>
        <w:pStyle w:val="ListBullet"/>
      </w:pPr>
      <w:r>
        <w:t>Security Test</w:t>
      </w:r>
    </w:p>
    <w:p>
      <w:pPr>
        <w:pStyle w:val="ListBullet"/>
      </w:pPr>
      <w:r>
        <w:t>Prompt Injection Test</w:t>
      </w:r>
    </w:p>
    <w:p>
      <w:pPr>
        <w:pStyle w:val="ListBullet"/>
      </w:pPr>
      <w:r>
        <w:t>SQL Injection Test</w:t>
      </w:r>
    </w:p>
    <w:p>
      <w:pPr>
        <w:pStyle w:val="ListBullet"/>
      </w:pPr>
      <w:r>
        <w:t>RAG Injection Test</w:t>
      </w:r>
    </w:p>
    <w:p>
      <w:pPr>
        <w:pStyle w:val="ListBullet"/>
      </w:pPr>
      <w:r>
        <w:t>Load Test 1/10/25/50/100 User</w:t>
      </w:r>
    </w:p>
    <w:p>
      <w:pPr>
        <w:pStyle w:val="Heading1"/>
      </w:pPr>
      <w:r>
        <w:t>17. Deployment</w:t>
      </w:r>
    </w:p>
    <w:p>
      <w:r>
        <w:t>Docker Compose untuk development dan container terpisah untuk Frontend, Backend, vLLM, Qdrant, Redis, Oracle MCP, PostgreSQL MCP, MySQL MCP, RAG MCP.</w:t>
      </w:r>
    </w:p>
    <w:p>
      <w:pPr>
        <w:pStyle w:val="Heading1"/>
      </w:pPr>
      <w:r>
        <w:t>18.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t>Phase</w:t>
            </w:r>
          </w:p>
        </w:tc>
        <w:tc>
          <w:tcPr>
            <w:tcW w:type="dxa" w:w="2767"/>
          </w:tcPr>
          <w:p>
            <w:r>
              <w:t>Deliverable</w:t>
            </w:r>
          </w:p>
        </w:tc>
        <w:tc>
          <w:tcPr>
            <w:tcW w:type="dxa" w:w="2767"/>
          </w:tcPr>
          <w:p>
            <w:r>
              <w:t>Status</w:t>
            </w:r>
          </w:p>
        </w:tc>
      </w:tr>
      <w:tr>
        <w:tc>
          <w:tcPr>
            <w:tcW w:type="dxa" w:w="2767"/>
          </w:tcPr>
          <w:p>
            <w:r>
              <w:t>1</w:t>
            </w:r>
          </w:p>
        </w:tc>
        <w:tc>
          <w:tcPr>
            <w:tcW w:type="dxa" w:w="2767"/>
          </w:tcPr>
          <w:p>
            <w:r>
              <w:t>Architecture</w:t>
            </w:r>
          </w:p>
        </w:tc>
        <w:tc>
          <w:tcPr>
            <w:tcW w:type="dxa" w:w="2767"/>
          </w:tcPr>
          <w:p>
            <w:r>
              <w:t>Planned</w:t>
            </w:r>
          </w:p>
        </w:tc>
      </w:tr>
      <w:tr>
        <w:tc>
          <w:tcPr>
            <w:tcW w:type="dxa" w:w="2767"/>
          </w:tcPr>
          <w:p>
            <w:r>
              <w:t>2</w:t>
            </w:r>
          </w:p>
        </w:tc>
        <w:tc>
          <w:tcPr>
            <w:tcW w:type="dxa" w:w="2767"/>
          </w:tcPr>
          <w:p>
            <w:r>
              <w:t>Skeleton</w:t>
            </w:r>
          </w:p>
        </w:tc>
        <w:tc>
          <w:tcPr>
            <w:tcW w:type="dxa" w:w="2767"/>
          </w:tcPr>
          <w:p>
            <w:r>
              <w:t>Planned</w:t>
            </w:r>
          </w:p>
        </w:tc>
      </w:tr>
      <w:tr>
        <w:tc>
          <w:tcPr>
            <w:tcW w:type="dxa" w:w="2767"/>
          </w:tcPr>
          <w:p>
            <w:r>
              <w:t>3</w:t>
            </w:r>
          </w:p>
        </w:tc>
        <w:tc>
          <w:tcPr>
            <w:tcW w:type="dxa" w:w="2767"/>
          </w:tcPr>
          <w:p>
            <w:r>
              <w:t>LLM</w:t>
            </w:r>
          </w:p>
        </w:tc>
        <w:tc>
          <w:tcPr>
            <w:tcW w:type="dxa" w:w="2767"/>
          </w:tcPr>
          <w:p>
            <w:r>
              <w:t>Planned</w:t>
            </w:r>
          </w:p>
        </w:tc>
      </w:tr>
      <w:tr>
        <w:tc>
          <w:tcPr>
            <w:tcW w:type="dxa" w:w="2767"/>
          </w:tcPr>
          <w:p>
            <w:r>
              <w:t>4</w:t>
            </w:r>
          </w:p>
        </w:tc>
        <w:tc>
          <w:tcPr>
            <w:tcW w:type="dxa" w:w="2767"/>
          </w:tcPr>
          <w:p>
            <w:r>
              <w:t>RBAC</w:t>
            </w:r>
          </w:p>
        </w:tc>
        <w:tc>
          <w:tcPr>
            <w:tcW w:type="dxa" w:w="2767"/>
          </w:tcPr>
          <w:p>
            <w:r>
              <w:t>Planned</w:t>
            </w:r>
          </w:p>
        </w:tc>
      </w:tr>
      <w:tr>
        <w:tc>
          <w:tcPr>
            <w:tcW w:type="dxa" w:w="2767"/>
          </w:tcPr>
          <w:p>
            <w:r>
              <w:t>5</w:t>
            </w:r>
          </w:p>
        </w:tc>
        <w:tc>
          <w:tcPr>
            <w:tcW w:type="dxa" w:w="2767"/>
          </w:tcPr>
          <w:p>
            <w:r>
              <w:t>DB Adapter</w:t>
            </w:r>
          </w:p>
        </w:tc>
        <w:tc>
          <w:tcPr>
            <w:tcW w:type="dxa" w:w="2767"/>
          </w:tcPr>
          <w:p>
            <w:r>
              <w:t>Planned</w:t>
            </w:r>
          </w:p>
        </w:tc>
      </w:tr>
      <w:tr>
        <w:tc>
          <w:tcPr>
            <w:tcW w:type="dxa" w:w="2767"/>
          </w:tcPr>
          <w:p>
            <w:r>
              <w:t>6</w:t>
            </w:r>
          </w:p>
        </w:tc>
        <w:tc>
          <w:tcPr>
            <w:tcW w:type="dxa" w:w="2767"/>
          </w:tcPr>
          <w:p>
            <w:r>
              <w:t>MCP</w:t>
            </w:r>
          </w:p>
        </w:tc>
        <w:tc>
          <w:tcPr>
            <w:tcW w:type="dxa" w:w="2767"/>
          </w:tcPr>
          <w:p>
            <w:r>
              <w:t>Planned</w:t>
            </w:r>
          </w:p>
        </w:tc>
      </w:tr>
      <w:tr>
        <w:tc>
          <w:tcPr>
            <w:tcW w:type="dxa" w:w="2767"/>
          </w:tcPr>
          <w:p>
            <w:r>
              <w:t>7</w:t>
            </w:r>
          </w:p>
        </w:tc>
        <w:tc>
          <w:tcPr>
            <w:tcW w:type="dxa" w:w="2767"/>
          </w:tcPr>
          <w:p>
            <w:r>
              <w:t>RAG</w:t>
            </w:r>
          </w:p>
        </w:tc>
        <w:tc>
          <w:tcPr>
            <w:tcW w:type="dxa" w:w="2767"/>
          </w:tcPr>
          <w:p>
            <w:r>
              <w:t>Planned</w:t>
            </w:r>
          </w:p>
        </w:tc>
      </w:tr>
      <w:tr>
        <w:tc>
          <w:tcPr>
            <w:tcW w:type="dxa" w:w="2767"/>
          </w:tcPr>
          <w:p>
            <w:r>
              <w:t>8</w:t>
            </w:r>
          </w:p>
        </w:tc>
        <w:tc>
          <w:tcPr>
            <w:tcW w:type="dxa" w:w="2767"/>
          </w:tcPr>
          <w:p>
            <w:r>
              <w:t>Security</w:t>
            </w:r>
          </w:p>
        </w:tc>
        <w:tc>
          <w:tcPr>
            <w:tcW w:type="dxa" w:w="2767"/>
          </w:tcPr>
          <w:p>
            <w:r>
              <w:t>Planned</w:t>
            </w:r>
          </w:p>
        </w:tc>
      </w:tr>
      <w:tr>
        <w:tc>
          <w:tcPr>
            <w:tcW w:type="dxa" w:w="2767"/>
          </w:tcPr>
          <w:p>
            <w:r>
              <w:t>9</w:t>
            </w:r>
          </w:p>
        </w:tc>
        <w:tc>
          <w:tcPr>
            <w:tcW w:type="dxa" w:w="2767"/>
          </w:tcPr>
          <w:p>
            <w:r>
              <w:t>Frontend</w:t>
            </w:r>
          </w:p>
        </w:tc>
        <w:tc>
          <w:tcPr>
            <w:tcW w:type="dxa" w:w="2767"/>
          </w:tcPr>
          <w:p>
            <w:r>
              <w:t>Planned</w:t>
            </w:r>
          </w:p>
        </w:tc>
      </w:tr>
      <w:tr>
        <w:tc>
          <w:tcPr>
            <w:tcW w:type="dxa" w:w="2767"/>
          </w:tcPr>
          <w:p>
            <w:r>
              <w:t>10</w:t>
            </w:r>
          </w:p>
        </w:tc>
        <w:tc>
          <w:tcPr>
            <w:tcW w:type="dxa" w:w="2767"/>
          </w:tcPr>
          <w:p>
            <w:r>
              <w:t>Testing</w:t>
            </w:r>
          </w:p>
        </w:tc>
        <w:tc>
          <w:tcPr>
            <w:tcW w:type="dxa" w:w="2767"/>
          </w:tcPr>
          <w:p>
            <w:r>
              <w:t>Planned</w:t>
            </w:r>
          </w:p>
        </w:tc>
      </w:tr>
    </w:tbl>
    <w:p>
      <w:pPr>
        <w:pStyle w:val="Heading1"/>
      </w:pPr>
      <w:r>
        <w:t>19. Acceptance Criteria</w:t>
      </w:r>
    </w:p>
    <w:p>
      <w:pPr>
        <w:pStyle w:val="ListBullet"/>
      </w:pPr>
      <w:r>
        <w:t>Local LLM berjalan</w:t>
      </w:r>
    </w:p>
    <w:p>
      <w:pPr>
        <w:pStyle w:val="ListBullet"/>
      </w:pPr>
      <w:r>
        <w:t>Oracle/PostgreSQL/MySQL MCP aktif</w:t>
      </w:r>
    </w:p>
    <w:p>
      <w:pPr>
        <w:pStyle w:val="ListBullet"/>
      </w:pPr>
      <w:r>
        <w:t>RAG dengan citation</w:t>
      </w:r>
    </w:p>
    <w:p>
      <w:pPr>
        <w:pStyle w:val="ListBullet"/>
      </w:pPr>
      <w:r>
        <w:t>RBAC &amp; Scope Enforcement</w:t>
      </w:r>
    </w:p>
    <w:p>
      <w:pPr>
        <w:pStyle w:val="ListBullet"/>
      </w:pPr>
      <w:r>
        <w:t>Prompt Injection Protection</w:t>
      </w:r>
    </w:p>
    <w:p>
      <w:pPr>
        <w:pStyle w:val="ListBullet"/>
      </w:pPr>
      <w:r>
        <w:t>Grounding Validation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Docker Deployment</w:t>
      </w:r>
    </w:p>
    <w:p>
      <w:r>
        <w:br w:type="page"/>
      </w:r>
    </w:p>
    <w:p>
      <w:pPr>
        <w:pStyle w:val="Heading1"/>
      </w:pPr>
      <w:r>
        <w:t>Appendix A – Hermes First Command</w:t>
      </w:r>
    </w:p>
    <w:p>
      <w:r>
        <w:t>Read BLUEPRINT_ENTERPRISE_PRD.md completely. Generate architecture, threat model, trust boundaries, MCP contracts, RBAC matrix, Docker topology, then stop for approval.</w:t>
      </w:r>
    </w:p>
    <w:sectPr w:rsidR="00FC693F" w:rsidRPr="0006063C" w:rsidSect="00034616">
      <w:pgSz w:w="11900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