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fullstack .Net developer and solution architect with over 23 years of experience. He is dedicated to delivering quality software by practicing Agile Processes, Test Driven Development, applying SOLID principles, a healthy dose of DevOps and dad-jokes.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6, Asp.Net Core, Blazor, Docker, GitHub Actions, Kafka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