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Senior 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 senior .Net developer and solution architect dedicated to delivering quality software by practicing Agile Processes, Test Driven Development, applying SOLID principles and a healthy dose of DevOps.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Databases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EF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SQL Server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Betsson Group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Backend Developer | Oct 2021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.Net 5, Blazor, Docker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Feb 2021</w:t>
      </w:r>
      <w:r w:rsidR="00000000" w:rsidRPr="00000000" w:rsidDel="00000000">
        <w:rPr>
          <w:rtl w:val="0"/>
        </w:rPr>
        <w:t xml:space="preserve"> - Oct 2021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 and .Net 5 hosted on Azure.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Contentful CMS content modeling and integration.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Film2Home/Plejmo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Self Employed IT Consultant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urban area.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Betsson Group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Adlibris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Norconsult Astando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 Payments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Insplanet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Lead Developer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PC Technician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Study Circle Leader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2.png" Type="http://schemas.openxmlformats.org/officeDocument/2006/relationships/image" Id="rId12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