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4E78"/>
          <w:sz w:val="56"/>
          <w:szCs w:val="56"/>
        </w:rPr>
        <w:t xml:space="preserve">STRATEGIC PLAN</w:t>
      </w:r>
    </w:p>
    <w:p>
      <w:pPr>
        <w:spacing w:after="240"/>
        <w:jc w:val="center"/>
      </w:pPr>
      <w:r>
        <w:rPr>
          <w:b/>
          <w:bCs/>
          <w:color w:val="555555"/>
          <w:sz w:val="36"/>
          <w:szCs w:val="36"/>
        </w:rPr>
        <w:t xml:space="preserve">2026 — 2030</w:t>
      </w:r>
    </w:p>
    <w:p>
      <w:pPr>
        <w:spacing w:after="600"/>
        <w:jc w:val="center"/>
      </w:pPr>
      <w:r>
        <w:rPr>
          <w:b/>
          <w:bCs/>
          <w:color w:val="1F4E78"/>
          <w:sz w:val="48"/>
          <w:szCs w:val="48"/>
        </w:rPr>
        <w:t xml:space="preserve">handlekraft</w:t>
      </w:r>
    </w:p>
    <w:p>
      <w:pPr>
        <w:spacing w:after="240"/>
        <w:jc w:val="center"/>
      </w:pPr>
      <w:r>
        <w:rPr>
          <w:i/>
          <w:iCs/>
          <w:color w:val="555555"/>
          <w:sz w:val="24"/>
          <w:szCs w:val="24"/>
        </w:rPr>
        <w:t xml:space="preserve">Norwegian: handle · kraft — the power to act</w:t>
      </w:r>
    </w:p>
    <w:p>
      <w:pPr>
        <w:spacing w:after="800"/>
        <w:jc w:val="center"/>
      </w:pPr>
      <w:r>
        <w:rPr>
          <w:i/>
          <w:iCs/>
          <w:color w:val="555555"/>
          <w:sz w:val="24"/>
          <w:szCs w:val="24"/>
        </w:rPr>
        <w:t xml:space="preserve">An Emergent Strategy for a Self-Managed Education Nonprofit</w:t>
      </w:r>
    </w:p>
    <w:p>
      <w:pPr>
        <w:jc w:val="center"/>
      </w:pPr>
      <w:r>
        <w:rPr>
          <w:b/>
          <w:bCs/>
          <w:color w:val="C00000"/>
          <w:sz w:val="22"/>
          <w:szCs w:val="22"/>
        </w:rPr>
        <w:t xml:space="preserve">DRAFT FOR BOARD REVIEW AND COMMENT</w:t>
      </w:r>
    </w:p>
    <w:p>
      <w:pPr>
        <w:spacing w:after="600" w:before="120"/>
        <w:jc w:val="center"/>
      </w:pPr>
      <w:r>
        <w:rPr>
          <w:i/>
          <w:iCs/>
          <w:color w:val="555555"/>
          <w:sz w:val="22"/>
          <w:szCs w:val="22"/>
        </w:rPr>
        <w:t xml:space="preserve">May 2026</w:t>
      </w:r>
    </w:p>
    <w:p>
      <w:pPr>
        <w:pStyle w:val="Heading1"/>
        <w:pageBreakBefore/>
      </w:pPr>
      <w:r>
        <w:t xml:space="preserve">A Note on This Plan</w:t>
      </w:r>
    </w:p>
    <w:p>
      <w:pPr>
        <w:spacing w:after="140"/>
      </w:pPr>
      <w:r>
        <w:t xml:space="preserve">This document is a strategic plan written for an organization that does not yet fully exist. It captures intent — direction, principles, the kinds of decisions we want to be capable of making — rather than commitments to specific outputs. We have intentionally avoided the kind of strategic plan that turns into wallpaper: the multi-page laminated poster with five pillars, twenty objectives, and forty key results that everyone agrees with and no one consults.</w:t>
      </w:r>
    </w:p>
    <w:p>
      <w:pPr>
        <w:spacing w:after="140"/>
      </w:pPr>
      <w:r>
        <w:t xml:space="preserve">Instead, this plan reflects the philosophy of emergent organizations as described by Frédéric Laloux in Reinventing Organizations: organizations as living organisms that adapt to what they're learning rather than executing rigid pre-determined plans. We have a clear evolutionary purpose. We have principles for how we want to work. We have a structure for who we serve and a sense of how we will grow. The specific milestones, however, will be set as we encounter reality — by the team doing the work, in concert with the board, informed by what we actually learn from clients, fellows, and our own practice.</w:t>
      </w:r>
    </w:p>
    <w:p>
      <w:pPr>
        <w:spacing w:after="140"/>
      </w:pPr>
      <w:r>
        <w:t xml:space="preserve">This plan complements and depends on the previously prepared funding strategy document, which addresses tax-exempt classification, donor-advised fund mechanics, and the public support test. That document explains how we will be funded; this document explains what we intend to do, who we serve, how we work, and the change we are trying to make in the world.</w:t>
      </w:r>
    </w:p>
    <w:p>
      <w:pPr>
        <w:pBdr>
          <w:left w:val="single" w:color="1F4E78" w:sz="18" w:space="8"/>
        </w:pBdr>
        <w:shd w:fill="DDEBF7" w:val="clear"/>
        <w:spacing w:after="120" w:before="120"/>
      </w:pPr>
      <w:r>
        <w:rPr>
          <w:i/>
          <w:iCs/>
        </w:rPr>
        <w:t xml:space="preserve">The funding strategy answers: How do we keep the lights on? This plan answers: What is the light for?</w:t>
      </w:r>
    </w:p>
    <w:p>
      <w:pPr>
        <w:spacing w:after="140"/>
      </w:pPr>
      <w:r>
        <w:t xml:space="preserve">If, three years from now, much of what is written here has shifted in light of what we learned, that is success — not failure. A teal organization expects its own evolution. What should not shift is the underlying purpose: giving people and organizations the power to act.</w:t>
      </w:r>
    </w:p>
    <w:p>
      <w:pPr>
        <w:pStyle w:val="Heading1"/>
        <w:pageBreakBefore/>
      </w:pPr>
      <w:r>
        <w:t xml:space="preserve">Executive Summary</w:t>
      </w:r>
    </w:p>
    <w:p>
      <w:pPr>
        <w:spacing w:after="140"/>
      </w:pPr>
      <w:r>
        <w:t xml:space="preserve">handlekraft is a California §501(c)(3) public charity launching September 1, 2026. Our purpose is to multiply the power to act — for community organizations underserved by technology, for non-traditional learners locked out of technology careers, and for people whose disabilities, life circumstances, or histories have made digital systems harder to use than they need to be.</w:t>
      </w:r>
    </w:p>
    <w:p>
      <w:pPr>
        <w:spacing w:after="140"/>
      </w:pPr>
      <w:r>
        <w:t xml:space="preserve">We pursue this purpose through a self-managed, fully remote team operating on a 30-hour workweek, building and teaching with AI-native tools. Our work blends three integrated streams:</w:t>
      </w:r>
    </w:p>
    <w:p>
      <w:pPr>
        <w:pStyle w:val="ListParagraph"/>
        <w:numPr>
          <w:ilvl w:val="0"/>
          <w:numId w:val="2"/>
        </w:numPr>
        <w:spacing w:after="80"/>
      </w:pPr>
      <w:r>
        <w:t xml:space="preserve">Direct services and training delivered to community organizations — primarily helping them adopt, configure, and operate technology that already exists, with custom build only where it serves the organization's long-term capability;</w:t>
      </w:r>
    </w:p>
    <w:p>
      <w:pPr>
        <w:pStyle w:val="ListParagraph"/>
        <w:numPr>
          <w:ilvl w:val="0"/>
          <w:numId w:val="2"/>
        </w:numPr>
        <w:spacing w:after="80"/>
      </w:pPr>
      <w:r>
        <w:t xml:space="preserve">Fellowship and training programs that prepare non-traditional learners — including veterans, single parents, GED holders, neurodivergent learners, and the formerly incarcerated — for product-focused careers in an AI-augmented technology economy;</w:t>
      </w:r>
    </w:p>
    <w:p>
      <w:pPr>
        <w:pStyle w:val="ListParagraph"/>
        <w:numPr>
          <w:ilvl w:val="0"/>
          <w:numId w:val="2"/>
        </w:numPr>
        <w:spacing w:after="80"/>
      </w:pPr>
      <w:r>
        <w:t xml:space="preserve">Internal practice that treats accessibility, inclusion, and human-scale work as design defaults rather than afterthoughts — both as our values and as the source of unique expertise we bring to clients.</w:t>
      </w:r>
    </w:p>
    <w:p>
      <w:pPr>
        <w:spacing w:after="140"/>
      </w:pPr>
      <w:r>
        <w:t xml:space="preserve">This is a deliberate departure from our initial framing. Earlier proposal drafts described handlekraft as a builder of free custom software for nonprofits. The mature direction is different: we are primarily a services and education organization. The work we do for clients is mostly consultative — assessment, training, configuration of existing tools, light customization, and capability transfer. Custom software is a service we offer when it is genuinely the right answer, but it is not the center of our identity. Clients always own and accept liability for what they operate. We provide expertise; they provide stewardship.</w:t>
      </w:r>
    </w:p>
    <w:p>
      <w:pPr>
        <w:spacing w:after="140"/>
      </w:pPr>
      <w:r>
        <w:t xml:space="preserve">Our internal culture is built on three commitments: self-management within clear principles rather than top-down direction; sustainable working hours that respect human wholeness; and accessibility thinking woven into everything we do, design, and teach. These are not ornaments on the strategy — they are the strategy.</w:t>
      </w:r>
    </w:p>
    <w:p>
      <w:pPr>
        <w:spacing w:after="140"/>
      </w:pPr>
      <w:r>
        <w:t xml:space="preserve">We expect to spend Year 1 building foundations carefully. Years 2–3 will deepen what we learn from real practice. Years 4–5 will scale what works and let go of what doesn't. The funding strategy aligns with this rhythm: founder-supported in early years through a Donor Advised Fund, diversifying gradually toward grants and contracts as our work earns its own reputation.</w:t>
      </w:r>
    </w:p>
    <w:p>
      <w:pPr>
        <w:pStyle w:val="Heading1"/>
        <w:pageBreakBefore/>
      </w:pPr>
      <w:r>
        <w:t xml:space="preserve">Part 1 — Purpose and Principles</w:t>
      </w:r>
    </w:p>
    <w:p>
      <w:pPr>
        <w:pStyle w:val="Heading2"/>
      </w:pPr>
      <w:r>
        <w:t xml:space="preserve">1.1 Evolutionary Purpose</w:t>
      </w:r>
    </w:p>
    <w:p>
      <w:pPr>
        <w:spacing w:after="140"/>
      </w:pPr>
      <w:r>
        <w:t xml:space="preserve">Most strategic plans begin with a mission statement. We begin with what Laloux calls evolutionary purpose: a sense of what the organization is trying to become as it engages with the world, expressed in language that holds up to actual decisions.</w:t>
      </w:r>
    </w:p>
    <w:p>
      <w:pPr>
        <w:pBdr>
          <w:left w:val="single" w:color="1F4E78" w:sz="18" w:space="8"/>
        </w:pBdr>
        <w:shd w:fill="DDEBF7" w:val="clear"/>
        <w:spacing w:after="120" w:before="120"/>
      </w:pPr>
      <w:r>
        <w:rPr>
          <w:i/>
          <w:iCs/>
        </w:rPr>
        <w:t xml:space="preserve">handlekraft exists to multiply the power to act — for organizations who serve their communities with too few resources, for people whose paths into technology have been blocked, and for users whom technology too often forgets.</w:t>
      </w:r>
    </w:p>
    <w:p>
      <w:pPr>
        <w:spacing w:after="140"/>
      </w:pPr>
      <w:r>
        <w:t xml:space="preserve">Three audiences are named here deliberately: organizations, learners, and end users. Each has a distinct need. Each is shaped by the same underlying problem — that technology, as currently delivered, is unequally accessible. We treat all three as primary stakeholders, and our strategy must serve all three or it is not our strategy.</w:t>
      </w:r>
    </w:p>
    <w:p>
      <w:pPr>
        <w:pStyle w:val="Heading2"/>
      </w:pPr>
      <w:r>
        <w:t xml:space="preserve">1.2 Operating Principles</w:t>
      </w:r>
    </w:p>
    <w:p>
      <w:pPr>
        <w:spacing w:after="140"/>
      </w:pPr>
      <w:r>
        <w:t xml:space="preserve">These principles are how we recognize ourselves. When a decision feels unclear, we test it against these. When we drift, these are how we know.</w:t>
      </w:r>
    </w:p>
    <w:p>
      <w:pPr>
        <w:pStyle w:val="Heading3"/>
      </w:pPr>
      <w:r>
        <w:t xml:space="preserve">1. We multiply capability, not dependency</w:t>
      </w:r>
    </w:p>
    <w:p>
      <w:pPr>
        <w:spacing w:after="140"/>
      </w:pPr>
      <w:r>
        <w:t xml:space="preserve">Our success is not measured by what we deliver but by what our clients can do for themselves afterward. Software we build that no one can maintain is a failure. A client who can configure their own intake forms after working with us is a success. This principle shifts our work toward training, configuration, and transfer of capability — and away from custom builds that create long-term dependency on us.</w:t>
      </w:r>
    </w:p>
    <w:p>
      <w:pPr>
        <w:pStyle w:val="Heading3"/>
      </w:pPr>
      <w:r>
        <w:t xml:space="preserve">2. Accessibility is a design default</w:t>
      </w:r>
    </w:p>
    <w:p>
      <w:pPr>
        <w:spacing w:after="140"/>
      </w:pPr>
      <w:r>
        <w:t xml:space="preserve">Every program we run, every tool we recommend, every document we write — we ask first who might struggle with this and what we can do differently. ADHD, autism, dyslexia, anxiety, low vision, low literacy, age-related changes, formerly incarcerated re-entry, military trauma, and dozens of less-named conditions affect how people interact with technology. Our default is that the experience should work for them, not that they should work harder to use it. We bring this lens to client work, fellowship instruction, internal documentation, and our own collaboration practices.</w:t>
      </w:r>
    </w:p>
    <w:p>
      <w:pPr>
        <w:pStyle w:val="Heading3"/>
      </w:pPr>
      <w:r>
        <w:t xml:space="preserve">3. Self-management within clear principles</w:t>
      </w:r>
    </w:p>
    <w:p>
      <w:pPr>
        <w:spacing w:after="140"/>
      </w:pPr>
      <w:r>
        <w:t xml:space="preserve">We do not have a managerial hierarchy. People own their domains. Decisions are made by the person closest to the work, after appropriate consultation. The Board sets direction and ensures fiduciary integrity; the staff and fellows do the work and adjust based on what they learn. This is not consensus — it is distributed authority with clear accountability.</w:t>
      </w:r>
    </w:p>
    <w:p>
      <w:pPr>
        <w:pStyle w:val="Heading3"/>
      </w:pPr>
      <w:r>
        <w:t xml:space="preserve">4. Sustainable hours, sustained quality</w:t>
      </w:r>
    </w:p>
    <w:p>
      <w:pPr>
        <w:spacing w:after="140"/>
      </w:pPr>
      <w:r>
        <w:t xml:space="preserve">We work 30 hours a week. We do this because rested people produce better work, because our team should have lives, and because we want to demonstrate that knowledge organizations can be effective without burning their people. The 30-hour week is a strategic commitment, not a benefit, and we measure ourselves accordingly.</w:t>
      </w:r>
    </w:p>
    <w:p>
      <w:pPr>
        <w:pStyle w:val="Heading3"/>
      </w:pPr>
      <w:r>
        <w:t xml:space="preserve">5. Build with, not for</w:t>
      </w:r>
    </w:p>
    <w:p>
      <w:pPr>
        <w:spacing w:after="140"/>
      </w:pPr>
      <w:r>
        <w:t xml:space="preserve">When we work with clients, fellows, and partners, we work alongside them. We do not arrive with a finished answer. We listen, propose, iterate, and transfer ownership. This is true for the technology we help organizations adopt, the curriculum we teach, and the way we engage our board.</w:t>
      </w:r>
    </w:p>
    <w:p>
      <w:pPr>
        <w:pStyle w:val="Heading3"/>
      </w:pPr>
      <w:r>
        <w:t xml:space="preserve">6. Use AI as a co-worker, not a replacement</w:t>
      </w:r>
    </w:p>
    <w:p>
      <w:pPr>
        <w:spacing w:after="140"/>
      </w:pPr>
      <w:r>
        <w:t xml:space="preserve">AI tools are central to how we work — both as practitioners and as teachers. We treat AI agents as junior colleagues we delegate to and review, not as oracles. Our staff and fellows learn to direct, evaluate, and own the output. We are unapologetically AI-native, and unapologetically human-led.</w:t>
      </w:r>
    </w:p>
    <w:p>
      <w:pPr>
        <w:pStyle w:val="Heading3"/>
      </w:pPr>
      <w:r>
        <w:t xml:space="preserve">7. Build internally what we can build internally</w:t>
      </w:r>
    </w:p>
    <w:p>
      <w:pPr>
        <w:spacing w:after="140"/>
      </w:pPr>
      <w:r>
        <w:t xml:space="preserve">Our internal tools — project tracking, learning platform, donor management, simple website — are built by our own staff using AI-assisted development on platforms like Replit. We do this because the act of building is part of our curriculum, because it gives us deep familiarity with what we teach, and because it creates a feedback loop between our craft and our practice. We do not, however, rebuild what professional services already do well: payroll, accounting, insurance, and other compliance functions stay with vendors who specialize.</w:t>
      </w:r>
    </w:p>
    <w:p>
      <w:pPr>
        <w:pStyle w:val="Heading3"/>
      </w:pPr>
      <w:r>
        <w:t xml:space="preserve">8. Wholeness over performance</w:t>
      </w:r>
    </w:p>
    <w:p>
      <w:pPr>
        <w:spacing w:after="140"/>
      </w:pPr>
      <w:r>
        <w:t xml:space="preserve">People bring their full selves to work, including the parts that are messy or uncertain. We do not separate the professional from the human. This means difficult conversations are had directly and respectfully (we use Nonviolent Communication as our shared vocabulary). It means struggles are named rather than hidden. It means the people we hire are not assets to be optimized but humans to be respected.</w:t>
      </w:r>
    </w:p>
    <w:p>
      <w:pPr>
        <w:pStyle w:val="Heading2"/>
      </w:pPr>
      <w:r>
        <w:t xml:space="preserve">1.3 The Change We Want to Make</w:t>
      </w:r>
    </w:p>
    <w:p>
      <w:pPr>
        <w:spacing w:after="140"/>
      </w:pPr>
      <w:r>
        <w:t xml:space="preserve">In five years, we want to be able to point to changes that exist because handlekraft existed. These are not metrics — metrics will come — but changes we are accountable to.</w:t>
      </w:r>
    </w:p>
    <w:p>
      <w:pPr>
        <w:pStyle w:val="ListParagraph"/>
        <w:numPr>
          <w:ilvl w:val="0"/>
          <w:numId w:val="3"/>
        </w:numPr>
        <w:spacing w:after="80"/>
      </w:pPr>
      <w:r>
        <w:t xml:space="preserve">Community organizations we have worked with operate technology more effectively than they did before, with their own staff in charge, not us.</w:t>
      </w:r>
    </w:p>
    <w:p>
      <w:pPr>
        <w:pStyle w:val="ListParagraph"/>
        <w:numPr>
          <w:ilvl w:val="0"/>
          <w:numId w:val="3"/>
        </w:numPr>
        <w:spacing w:after="80"/>
      </w:pPr>
      <w:r>
        <w:t xml:space="preserve">Non-traditional learners we have trained are working in technology roles, earning livable wages, and (some of them) returning to mentor others.</w:t>
      </w:r>
    </w:p>
    <w:p>
      <w:pPr>
        <w:pStyle w:val="ListParagraph"/>
        <w:numPr>
          <w:ilvl w:val="0"/>
          <w:numId w:val="3"/>
        </w:numPr>
        <w:spacing w:after="80"/>
      </w:pPr>
      <w:r>
        <w:t xml:space="preserve">Tools and approaches we have developed for accessibility-first design are being used by other educators and consultancies because we have shared them openly.</w:t>
      </w:r>
    </w:p>
    <w:p>
      <w:pPr>
        <w:pStyle w:val="ListParagraph"/>
        <w:numPr>
          <w:ilvl w:val="0"/>
          <w:numId w:val="3"/>
        </w:numPr>
        <w:spacing w:after="80"/>
      </w:pPr>
      <w:r>
        <w:t xml:space="preserve">Our team has demonstrated, by ongoing example, that a small, deliberately-paced, self-managed nonprofit can do meaningful work without burning out.</w:t>
      </w:r>
    </w:p>
    <w:p>
      <w:pPr>
        <w:pStyle w:val="ListParagraph"/>
        <w:numPr>
          <w:ilvl w:val="0"/>
          <w:numId w:val="3"/>
        </w:numPr>
        <w:spacing w:after="80"/>
      </w:pPr>
      <w:r>
        <w:t xml:space="preserve">We have remained financially sustainable — primarily through diversified support rather than dependence on a single donor — without compromising the principles above.</w:t>
      </w:r>
    </w:p>
    <w:p>
      <w:pPr>
        <w:pStyle w:val="Heading1"/>
        <w:pageBreakBefore/>
      </w:pPr>
      <w:r>
        <w:t xml:space="preserve">Part 2 — Stakeholders and the Change We Make</w:t>
      </w:r>
    </w:p>
    <w:p>
      <w:pPr>
        <w:spacing w:after="140"/>
      </w:pPr>
      <w:r>
        <w:t xml:space="preserve">handlekraft serves three primary stakeholder groups. Each has a distinct relationship with us, distinct needs, and distinct measures of success. We design our programs and our internal culture to serve all three together — and our strategy is incomplete if any are neglected.</w:t>
      </w:r>
    </w:p>
    <w:p>
      <w:pPr>
        <w:pStyle w:val="Heading2"/>
      </w:pPr>
      <w:r>
        <w:t xml:space="preserve">2.1 Community Organizations</w:t>
      </w:r>
    </w:p>
    <w:p>
      <w:pPr>
        <w:pStyle w:val="Heading3"/>
      </w:pPr>
      <w:r>
        <w:t xml:space="preserve">Who they are</w:t>
      </w:r>
    </w:p>
    <w:p>
      <w:pPr>
        <w:spacing w:after="140"/>
      </w:pPr>
      <w:r>
        <w:t xml:space="preserve">Nonprofits, mutual aid groups, free clinics, food banks, shelters, mentorship programs, veteran service organizations, and underfunded local agencies. These organizations do essential work for people on the margins of well-resourced systems. They are typically small (1-15 staff), running on stretched budgets, and managing critical operations on a patchwork of spreadsheets, email threads, free tools, and institutional memory.</w:t>
      </w:r>
    </w:p>
    <w:p>
      <w:pPr>
        <w:pStyle w:val="Heading3"/>
      </w:pPr>
      <w:r>
        <w:t xml:space="preserve">What they actually need</w:t>
      </w:r>
    </w:p>
    <w:p>
      <w:pPr>
        <w:spacing w:after="140"/>
      </w:pPr>
      <w:r>
        <w:t xml:space="preserve">Earlier framings suggested they need custom software. The reality, in most cases, is different. They need:</w:t>
      </w:r>
    </w:p>
    <w:p>
      <w:pPr>
        <w:pStyle w:val="ListParagraph"/>
        <w:numPr>
          <w:ilvl w:val="0"/>
          <w:numId w:val="3"/>
        </w:numPr>
        <w:spacing w:after="80"/>
      </w:pPr>
      <w:r>
        <w:t xml:space="preserve">Help choosing among existing tools and configuring them well</w:t>
      </w:r>
    </w:p>
    <w:p>
      <w:pPr>
        <w:pStyle w:val="ListParagraph"/>
        <w:numPr>
          <w:ilvl w:val="0"/>
          <w:numId w:val="3"/>
        </w:numPr>
        <w:spacing w:after="80"/>
      </w:pPr>
      <w:r>
        <w:t xml:space="preserve">Documentation and training so their staff can manage what they have</w:t>
      </w:r>
    </w:p>
    <w:p>
      <w:pPr>
        <w:pStyle w:val="ListParagraph"/>
        <w:numPr>
          <w:ilvl w:val="0"/>
          <w:numId w:val="3"/>
        </w:numPr>
        <w:spacing w:after="80"/>
      </w:pPr>
      <w:r>
        <w:t xml:space="preserve">Periodic refresh of digital practices that have drifted</w:t>
      </w:r>
    </w:p>
    <w:p>
      <w:pPr>
        <w:pStyle w:val="ListParagraph"/>
        <w:numPr>
          <w:ilvl w:val="0"/>
          <w:numId w:val="3"/>
        </w:numPr>
        <w:spacing w:after="80"/>
      </w:pPr>
      <w:r>
        <w:t xml:space="preserve">Honest assessment of what would and wouldn't actually help them</w:t>
      </w:r>
    </w:p>
    <w:p>
      <w:pPr>
        <w:pStyle w:val="ListParagraph"/>
        <w:numPr>
          <w:ilvl w:val="0"/>
          <w:numId w:val="3"/>
        </w:numPr>
        <w:spacing w:after="80"/>
      </w:pPr>
      <w:r>
        <w:t xml:space="preserve">Confidence to say no to tools and platforms that don't fit</w:t>
      </w:r>
    </w:p>
    <w:p>
      <w:pPr>
        <w:spacing w:after="140"/>
      </w:pPr>
      <w:r>
        <w:t xml:space="preserve">Some need custom software. Most do not. A nonprofit running case management on a spreadsheet may be better served by careful adoption of an existing CRM than by a bespoke build that no one will know how to maintain in three years. Our job is to recommend honestly, not to build for the sake of building.</w:t>
      </w:r>
    </w:p>
    <w:p>
      <w:pPr>
        <w:pStyle w:val="Heading3"/>
      </w:pPr>
      <w:r>
        <w:t xml:space="preserve">How we serve them</w:t>
      </w:r>
    </w:p>
    <w:p>
      <w:pPr>
        <w:pStyle w:val="ListParagraph"/>
        <w:numPr>
          <w:ilvl w:val="0"/>
          <w:numId w:val="2"/>
        </w:numPr>
        <w:spacing w:after="80"/>
      </w:pPr>
      <w:r>
        <w:t xml:space="preserve">Discovery and assessment — A free initial conversation and lightweight assessment to understand what they actually do, what hurts, and what would actually help. We commit to honesty here, even when honesty means "you don't need us".</w:t>
      </w:r>
    </w:p>
    <w:p>
      <w:pPr>
        <w:pStyle w:val="ListParagraph"/>
        <w:numPr>
          <w:ilvl w:val="0"/>
          <w:numId w:val="2"/>
        </w:numPr>
        <w:spacing w:after="80"/>
      </w:pPr>
      <w:r>
        <w:t xml:space="preserve">Tool selection and configuration — Recommendations grounded in their context. Hands-on configuration of selected tools (CRM, intake systems, scheduling, document management) so they leave with working systems, not a list of homework.</w:t>
      </w:r>
    </w:p>
    <w:p>
      <w:pPr>
        <w:pStyle w:val="ListParagraph"/>
        <w:numPr>
          <w:ilvl w:val="0"/>
          <w:numId w:val="2"/>
        </w:numPr>
        <w:spacing w:after="80"/>
      </w:pPr>
      <w:r>
        <w:t xml:space="preserve">Training and capability transfer — Their staff learn to operate what we set up. Our exit is part of the engagement, not an afterthought.</w:t>
      </w:r>
    </w:p>
    <w:p>
      <w:pPr>
        <w:pStyle w:val="ListParagraph"/>
        <w:numPr>
          <w:ilvl w:val="0"/>
          <w:numId w:val="2"/>
        </w:numPr>
        <w:spacing w:after="80"/>
      </w:pPr>
      <w:r>
        <w:t xml:space="preserve">Light customization — Where existing tools genuinely fall short, we make small custom additions: simple workflows, integrations, landing pages, dashboards. We avoid building large bespoke systems.</w:t>
      </w:r>
    </w:p>
    <w:p>
      <w:pPr>
        <w:pStyle w:val="ListParagraph"/>
        <w:numPr>
          <w:ilvl w:val="0"/>
          <w:numId w:val="2"/>
        </w:numPr>
        <w:spacing w:after="80"/>
      </w:pPr>
      <w:r>
        <w:t xml:space="preserve">Custom builds (rare) — Reserved for situations where the organization's needs are genuinely unmet by existing tools, where they have the capacity to operate what we deliver, and where they understand what they are taking on. We work like a careful consultancy: clear scope, written agreements, deliverable handoff, and explicit ownership and liability staying with the client.</w:t>
      </w:r>
    </w:p>
    <w:p>
      <w:pPr>
        <w:pStyle w:val="ListParagraph"/>
        <w:numPr>
          <w:ilvl w:val="0"/>
          <w:numId w:val="2"/>
        </w:numPr>
        <w:spacing w:after="80"/>
      </w:pPr>
      <w:r>
        <w:t xml:space="preserve">Accessibility audit — Available for any organization concerned about how their digital presence serves people with disabilities or non-standard needs. Concrete recommendations they can act on.</w:t>
      </w:r>
    </w:p>
    <w:p>
      <w:pPr>
        <w:spacing w:after="140"/>
      </w:pPr>
      <w:r>
        <w:t xml:space="preserve">The shift from "we build software for nonprofits" to "we provide services and training that strengthen nonprofit technology capability" is significant. It changes our liability profile, our skill mix, our hiring needs, and the kind of impact we can have at our size. A small team can credibly serve dozens of organizations through assessment and training; the same team building custom software can serve only a handful.</w:t>
      </w:r>
    </w:p>
    <w:p>
      <w:pPr>
        <w:pStyle w:val="Heading3"/>
      </w:pPr>
      <w:r>
        <w:t xml:space="preserve">What success looks like</w:t>
      </w:r>
    </w:p>
    <w:p>
      <w:pPr>
        <w:pStyle w:val="ListParagraph"/>
        <w:numPr>
          <w:ilvl w:val="0"/>
          <w:numId w:val="3"/>
        </w:numPr>
        <w:spacing w:after="80"/>
      </w:pPr>
      <w:r>
        <w:t xml:space="preserve">The organization can run their own systems six months after we leave.</w:t>
      </w:r>
    </w:p>
    <w:p>
      <w:pPr>
        <w:pStyle w:val="ListParagraph"/>
        <w:numPr>
          <w:ilvl w:val="0"/>
          <w:numId w:val="3"/>
        </w:numPr>
        <w:spacing w:after="80"/>
      </w:pPr>
      <w:r>
        <w:t xml:space="preserve">Their staff feel more capable than before, not more dependent.</w:t>
      </w:r>
    </w:p>
    <w:p>
      <w:pPr>
        <w:pStyle w:val="ListParagraph"/>
        <w:numPr>
          <w:ilvl w:val="0"/>
          <w:numId w:val="3"/>
        </w:numPr>
        <w:spacing w:after="80"/>
      </w:pPr>
      <w:r>
        <w:t xml:space="preserve">The technology they use serves their mission rather than complicating it.</w:t>
      </w:r>
    </w:p>
    <w:p>
      <w:pPr>
        <w:pStyle w:val="ListParagraph"/>
        <w:numPr>
          <w:ilvl w:val="0"/>
          <w:numId w:val="3"/>
        </w:numPr>
        <w:spacing w:after="80"/>
      </w:pPr>
      <w:r>
        <w:t xml:space="preserve">They refer other organizations to us because of how we worked, not just what we delivered.</w:t>
      </w:r>
    </w:p>
    <w:p>
      <w:pPr>
        <w:pStyle w:val="Heading2"/>
      </w:pPr>
      <w:r>
        <w:t xml:space="preserve">2.2 Fellows and Learners</w:t>
      </w:r>
    </w:p>
    <w:p>
      <w:pPr>
        <w:pStyle w:val="Heading3"/>
      </w:pPr>
      <w:r>
        <w:t xml:space="preserve">Who they are</w:t>
      </w:r>
    </w:p>
    <w:p>
      <w:pPr>
        <w:spacing w:after="140"/>
      </w:pPr>
      <w:r>
        <w:t xml:space="preserve">People seeking entry or re-entry into technology careers through paths other than traditional four-year degrees. The proposal identifies a wide range: career changers, veterans, single parents, GED holders, self-taught learners, community college students, and underemployed workers. We extend this list deliberately:</w:t>
      </w:r>
    </w:p>
    <w:p>
      <w:pPr>
        <w:pStyle w:val="ListParagraph"/>
        <w:numPr>
          <w:ilvl w:val="0"/>
          <w:numId w:val="3"/>
        </w:numPr>
        <w:spacing w:after="80"/>
      </w:pPr>
      <w:r>
        <w:t xml:space="preserve">Neurodivergent learners — ADHD, autism, dyslexia, and other learning differences are over-represented in technology talent and under-represented in technology hiring. Our pedagogy is designed to serve them well.</w:t>
      </w:r>
    </w:p>
    <w:p>
      <w:pPr>
        <w:pStyle w:val="ListParagraph"/>
        <w:numPr>
          <w:ilvl w:val="0"/>
          <w:numId w:val="3"/>
        </w:numPr>
        <w:spacing w:after="80"/>
      </w:pPr>
      <w:r>
        <w:t xml:space="preserve">Formerly incarcerated individuals — People with records who are rebuilding lives after detention or imprisonment, for whom traditional employment pathways are often closed. Technology is one of the few fields where capability genuinely outweighs credential.</w:t>
      </w:r>
    </w:p>
    <w:p>
      <w:pPr>
        <w:pStyle w:val="ListParagraph"/>
        <w:numPr>
          <w:ilvl w:val="0"/>
          <w:numId w:val="3"/>
        </w:numPr>
        <w:spacing w:after="80"/>
      </w:pPr>
      <w:r>
        <w:t xml:space="preserve">Veterans separated under other-than-honorable conditions — Service members whose discharge status has cut them off from many veteran services and employer pipelines, but whose skills and experience remain real.</w:t>
      </w:r>
    </w:p>
    <w:p>
      <w:pPr>
        <w:pStyle w:val="ListParagraph"/>
        <w:numPr>
          <w:ilvl w:val="0"/>
          <w:numId w:val="3"/>
        </w:numPr>
        <w:spacing w:after="80"/>
      </w:pPr>
      <w:r>
        <w:t xml:space="preserve">People with chronic illness or disability — Including invisible disabilities, who benefit from remote, flexible, asynchronous learning environments.</w:t>
      </w:r>
    </w:p>
    <w:p>
      <w:pPr>
        <w:pStyle w:val="ListParagraph"/>
        <w:numPr>
          <w:ilvl w:val="0"/>
          <w:numId w:val="3"/>
        </w:numPr>
        <w:spacing w:after="80"/>
      </w:pPr>
      <w:r>
        <w:t xml:space="preserve">People in recovery — From substance use disorders, abusive relationships, or other life circumstances that have interrupted career trajectories.</w:t>
      </w:r>
    </w:p>
    <w:p>
      <w:pPr>
        <w:pStyle w:val="Heading3"/>
      </w:pPr>
      <w:r>
        <w:t xml:space="preserve">What they actually need</w:t>
      </w:r>
    </w:p>
    <w:p>
      <w:pPr>
        <w:pStyle w:val="ListParagraph"/>
        <w:numPr>
          <w:ilvl w:val="0"/>
          <w:numId w:val="2"/>
        </w:numPr>
        <w:spacing w:after="80"/>
      </w:pPr>
      <w:r>
        <w:t xml:space="preserve">A real opportunity to learn — not a sales funnel disguised as a course.</w:t>
      </w:r>
    </w:p>
    <w:p>
      <w:pPr>
        <w:pStyle w:val="ListParagraph"/>
        <w:numPr>
          <w:ilvl w:val="0"/>
          <w:numId w:val="2"/>
        </w:numPr>
        <w:spacing w:after="80"/>
      </w:pPr>
      <w:r>
        <w:t xml:space="preserve">A pedagogical environment that meets them where they are, including their cognitive and life circumstances.</w:t>
      </w:r>
    </w:p>
    <w:p>
      <w:pPr>
        <w:pStyle w:val="ListParagraph"/>
        <w:numPr>
          <w:ilvl w:val="0"/>
          <w:numId w:val="2"/>
        </w:numPr>
        <w:spacing w:after="80"/>
      </w:pPr>
      <w:r>
        <w:t xml:space="preserve">Real projects they can put in a portfolio — not classroom exercises that don't impress employers.</w:t>
      </w:r>
    </w:p>
    <w:p>
      <w:pPr>
        <w:pStyle w:val="ListParagraph"/>
        <w:numPr>
          <w:ilvl w:val="0"/>
          <w:numId w:val="2"/>
        </w:numPr>
        <w:spacing w:after="80"/>
      </w:pPr>
      <w:r>
        <w:t xml:space="preserve">Meaningful credentials backed by real practice.</w:t>
      </w:r>
    </w:p>
    <w:p>
      <w:pPr>
        <w:pStyle w:val="ListParagraph"/>
        <w:numPr>
          <w:ilvl w:val="0"/>
          <w:numId w:val="2"/>
        </w:numPr>
        <w:spacing w:after="80"/>
      </w:pPr>
      <w:r>
        <w:t xml:space="preserve">A community that doesn't disappear after graduation.</w:t>
      </w:r>
    </w:p>
    <w:p>
      <w:pPr>
        <w:pStyle w:val="ListParagraph"/>
        <w:numPr>
          <w:ilvl w:val="0"/>
          <w:numId w:val="2"/>
        </w:numPr>
        <w:spacing w:after="80"/>
      </w:pPr>
      <w:r>
        <w:t xml:space="preserve">Honest preparation for a job market that may not yet welcome them.</w:t>
      </w:r>
    </w:p>
    <w:p>
      <w:pPr>
        <w:pStyle w:val="Heading3"/>
      </w:pPr>
      <w:r>
        <w:t xml:space="preserve">How we serve them</w:t>
      </w:r>
    </w:p>
    <w:p>
      <w:pPr>
        <w:spacing w:after="140"/>
      </w:pPr>
      <w:r>
        <w:t xml:space="preserve">Our fellowship program is described in detail in the proposal and in the Tier 1 and Tier 2 training plans. The strategic direction is to:</w:t>
      </w:r>
    </w:p>
    <w:p>
      <w:pPr>
        <w:pStyle w:val="ListParagraph"/>
        <w:numPr>
          <w:ilvl w:val="0"/>
          <w:numId w:val="3"/>
        </w:numPr>
        <w:spacing w:after="80"/>
      </w:pPr>
      <w:r>
        <w:rPr>
          <w:b/>
          <w:bCs/>
        </w:rPr>
        <w:t xml:space="preserve">Run small, attentive cohorts. </w:t>
      </w:r>
      <w:r>
        <w:t xml:space="preserve">Quality of mentorship matters more than scale. We run cohorts at a size we can mentor well — typically 6-12 fellows in early cohorts, growing only as our capacity to support them grows.</w:t>
      </w:r>
    </w:p>
    <w:p>
      <w:pPr>
        <w:pStyle w:val="ListParagraph"/>
        <w:numPr>
          <w:ilvl w:val="0"/>
          <w:numId w:val="3"/>
        </w:numPr>
        <w:spacing w:after="80"/>
      </w:pPr>
      <w:r>
        <w:rPr>
          <w:b/>
          <w:bCs/>
        </w:rPr>
        <w:t xml:space="preserve">Embed accessibility in the pedagogy itself. </w:t>
      </w:r>
      <w:r>
        <w:t xml:space="preserve">Recorded sessions, multiple modalities, flexible deadlines where appropriate, plain-language materials, time for processing, structured breaks. The fellowship demonstrates accessibility-first design in how it operates.</w:t>
      </w:r>
    </w:p>
    <w:p>
      <w:pPr>
        <w:pStyle w:val="ListParagraph"/>
        <w:numPr>
          <w:ilvl w:val="0"/>
          <w:numId w:val="3"/>
        </w:numPr>
        <w:spacing w:after="80"/>
      </w:pPr>
      <w:r>
        <w:rPr>
          <w:b/>
          <w:bCs/>
        </w:rPr>
        <w:t xml:space="preserve">Make the work real. </w:t>
      </w:r>
      <w:r>
        <w:t xml:space="preserve">Fellows work on real client engagements as part of their training. They see how an actual nonprofit uses what they help configure. They write documentation that real users will read. This is what separates our model from bootcamps with simulated projects.</w:t>
      </w:r>
    </w:p>
    <w:p>
      <w:pPr>
        <w:pStyle w:val="ListParagraph"/>
        <w:numPr>
          <w:ilvl w:val="0"/>
          <w:numId w:val="3"/>
        </w:numPr>
        <w:spacing w:after="80"/>
      </w:pPr>
      <w:r>
        <w:rPr>
          <w:b/>
          <w:bCs/>
        </w:rPr>
        <w:t xml:space="preserve">Treat AI as a curriculum subject and a teaching tool. </w:t>
      </w:r>
      <w:r>
        <w:t xml:space="preserve">Fellows learn to direct, review, and trust-but-verify AI agents. They learn to build with AI — and they learn the underlying principles well enough to know when AI is wrong.</w:t>
      </w:r>
    </w:p>
    <w:p>
      <w:pPr>
        <w:pStyle w:val="ListParagraph"/>
        <w:numPr>
          <w:ilvl w:val="0"/>
          <w:numId w:val="3"/>
        </w:numPr>
        <w:spacing w:after="80"/>
      </w:pPr>
      <w:r>
        <w:rPr>
          <w:b/>
          <w:bCs/>
        </w:rPr>
        <w:t xml:space="preserve">Stay with them after graduation. </w:t>
      </w:r>
      <w:r>
        <w:t xml:space="preserve">Alumni community, references, paid engagement opportunities for strong graduates, and pathways back as mentors. Graduation is a milestone, not an exit.</w:t>
      </w:r>
    </w:p>
    <w:p>
      <w:pPr>
        <w:pStyle w:val="Heading3"/>
      </w:pPr>
      <w:r>
        <w:t xml:space="preserve">What success looks like</w:t>
      </w:r>
    </w:p>
    <w:p>
      <w:pPr>
        <w:pStyle w:val="ListParagraph"/>
        <w:numPr>
          <w:ilvl w:val="0"/>
          <w:numId w:val="3"/>
        </w:numPr>
        <w:spacing w:after="80"/>
      </w:pPr>
      <w:r>
        <w:t xml:space="preserve">Fellows leave with real, demonstrable capability — not just a certificate.</w:t>
      </w:r>
    </w:p>
    <w:p>
      <w:pPr>
        <w:pStyle w:val="ListParagraph"/>
        <w:numPr>
          <w:ilvl w:val="0"/>
          <w:numId w:val="3"/>
        </w:numPr>
        <w:spacing w:after="80"/>
      </w:pPr>
      <w:r>
        <w:t xml:space="preserve">They are equipped to find work, advocate for themselves, and continue learning independently.</w:t>
      </w:r>
    </w:p>
    <w:p>
      <w:pPr>
        <w:pStyle w:val="ListParagraph"/>
        <w:numPr>
          <w:ilvl w:val="0"/>
          <w:numId w:val="3"/>
        </w:numPr>
        <w:spacing w:after="80"/>
      </w:pPr>
      <w:r>
        <w:t xml:space="preserve">Those who do find technology employment are earning living wages and growing in their roles.</w:t>
      </w:r>
    </w:p>
    <w:p>
      <w:pPr>
        <w:pStyle w:val="ListParagraph"/>
        <w:numPr>
          <w:ilvl w:val="0"/>
          <w:numId w:val="3"/>
        </w:numPr>
        <w:spacing w:after="80"/>
      </w:pPr>
      <w:r>
        <w:t xml:space="preserve">Those who don't pursue technology employment have still gained skills they can use in their existing fields.</w:t>
      </w:r>
    </w:p>
    <w:p>
      <w:pPr>
        <w:pStyle w:val="ListParagraph"/>
        <w:numPr>
          <w:ilvl w:val="0"/>
          <w:numId w:val="3"/>
        </w:numPr>
        <w:spacing w:after="80"/>
      </w:pPr>
      <w:r>
        <w:t xml:space="preserve">The cohort experience itself is humane, accessible, and worth recommending.</w:t>
      </w:r>
    </w:p>
    <w:p>
      <w:pPr>
        <w:pStyle w:val="Heading2"/>
      </w:pPr>
      <w:r>
        <w:t xml:space="preserve">2.3 End Users — The People Our Clients Serve</w:t>
      </w:r>
    </w:p>
    <w:p>
      <w:pPr>
        <w:pStyle w:val="Heading3"/>
      </w:pPr>
      <w:r>
        <w:t xml:space="preserve">Who they are</w:t>
      </w:r>
    </w:p>
    <w:p>
      <w:pPr>
        <w:spacing w:after="140"/>
      </w:pPr>
      <w:r>
        <w:t xml:space="preserve">The people who walk into the food bank, who call the free clinic, who attend the youth program, who apply for veteran services. They are not handlekraft's direct stakeholders — but they are who our work is ultimately for. Every form a nonprofit uses, every website, every intake system either serves them or fails them.</w:t>
      </w:r>
    </w:p>
    <w:p>
      <w:pPr>
        <w:spacing w:after="140"/>
      </w:pPr>
      <w:r>
        <w:t xml:space="preserve">Disproportionately, the people our clients serve are also the people technology serves worst:</w:t>
      </w:r>
    </w:p>
    <w:p>
      <w:pPr>
        <w:pStyle w:val="ListParagraph"/>
        <w:numPr>
          <w:ilvl w:val="0"/>
          <w:numId w:val="3"/>
        </w:numPr>
        <w:spacing w:after="80"/>
      </w:pPr>
      <w:r>
        <w:t xml:space="preserve">People with low literacy, low digital literacy, or English as an additional language</w:t>
      </w:r>
    </w:p>
    <w:p>
      <w:pPr>
        <w:pStyle w:val="ListParagraph"/>
        <w:numPr>
          <w:ilvl w:val="0"/>
          <w:numId w:val="3"/>
        </w:numPr>
        <w:spacing w:after="80"/>
      </w:pPr>
      <w:r>
        <w:t xml:space="preserve">People with disabilities — visual, motor, cognitive, hearing, or mental health</w:t>
      </w:r>
    </w:p>
    <w:p>
      <w:pPr>
        <w:pStyle w:val="ListParagraph"/>
        <w:numPr>
          <w:ilvl w:val="0"/>
          <w:numId w:val="3"/>
        </w:numPr>
        <w:spacing w:after="80"/>
      </w:pPr>
      <w:r>
        <w:t xml:space="preserve">People in crisis — fleeing abuse, recently homeless, recently bereaved, in active addiction recovery</w:t>
      </w:r>
    </w:p>
    <w:p>
      <w:pPr>
        <w:pStyle w:val="ListParagraph"/>
        <w:numPr>
          <w:ilvl w:val="0"/>
          <w:numId w:val="3"/>
        </w:numPr>
        <w:spacing w:after="80"/>
      </w:pPr>
      <w:r>
        <w:t xml:space="preserve">People who are aging, especially those navigating new disabilities or memory changes</w:t>
      </w:r>
    </w:p>
    <w:p>
      <w:pPr>
        <w:pStyle w:val="ListParagraph"/>
        <w:numPr>
          <w:ilvl w:val="0"/>
          <w:numId w:val="3"/>
        </w:numPr>
        <w:spacing w:after="80"/>
      </w:pPr>
      <w:r>
        <w:t xml:space="preserve">Children and youth</w:t>
      </w:r>
    </w:p>
    <w:p>
      <w:pPr>
        <w:pStyle w:val="ListParagraph"/>
        <w:numPr>
          <w:ilvl w:val="0"/>
          <w:numId w:val="3"/>
        </w:numPr>
        <w:spacing w:after="80"/>
      </w:pPr>
      <w:r>
        <w:t xml:space="preserve">People for whom trust in institutions is, with reason, low</w:t>
      </w:r>
    </w:p>
    <w:p>
      <w:pPr>
        <w:pStyle w:val="Heading3"/>
      </w:pPr>
      <w:r>
        <w:t xml:space="preserve">How we serve them</w:t>
      </w:r>
    </w:p>
    <w:p>
      <w:pPr>
        <w:spacing w:after="140"/>
      </w:pPr>
      <w:r>
        <w:t xml:space="preserve">We never serve them directly. We serve them through the choices we make on their behalf when working with our clients — and through the standards we hold ourselves and our fellows to. Specifically:</w:t>
      </w:r>
    </w:p>
    <w:p>
      <w:pPr>
        <w:pStyle w:val="ListParagraph"/>
        <w:numPr>
          <w:ilvl w:val="0"/>
          <w:numId w:val="2"/>
        </w:numPr>
        <w:spacing w:after="80"/>
      </w:pPr>
      <w:r>
        <w:t xml:space="preserve">Accessibility audits as standard offering — When we work with a client, an accessibility review is part of the engagement, not an upcharge. We give them concrete recommendations they can act on without us.</w:t>
      </w:r>
    </w:p>
    <w:p>
      <w:pPr>
        <w:pStyle w:val="ListParagraph"/>
        <w:numPr>
          <w:ilvl w:val="0"/>
          <w:numId w:val="2"/>
        </w:numPr>
        <w:spacing w:after="80"/>
      </w:pPr>
      <w:r>
        <w:t xml:space="preserve">WCAG-aware tool recommendations — When we recommend tools, accessibility compliance is a baseline filter, not an afterthought. We refuse to recommend tools whose accessibility is poor, even when they are otherwise popular.</w:t>
      </w:r>
    </w:p>
    <w:p>
      <w:pPr>
        <w:pStyle w:val="ListParagraph"/>
        <w:numPr>
          <w:ilvl w:val="0"/>
          <w:numId w:val="2"/>
        </w:numPr>
        <w:spacing w:after="80"/>
      </w:pPr>
      <w:r>
        <w:t xml:space="preserve">Plain-language defaults — Forms, websites, intake systems that we touch are written for the people who use them, not for the staff who administer them.</w:t>
      </w:r>
    </w:p>
    <w:p>
      <w:pPr>
        <w:pStyle w:val="ListParagraph"/>
        <w:numPr>
          <w:ilvl w:val="0"/>
          <w:numId w:val="2"/>
        </w:numPr>
        <w:spacing w:after="80"/>
      </w:pPr>
      <w:r>
        <w:t xml:space="preserve">Trauma-informed defaults — Particularly for clients serving vulnerable populations, we help them choose interactions that don't re-traumatize, that minimize unnecessary disclosure, that fail gracefully.</w:t>
      </w:r>
    </w:p>
    <w:p>
      <w:pPr>
        <w:pStyle w:val="ListParagraph"/>
        <w:numPr>
          <w:ilvl w:val="0"/>
          <w:numId w:val="2"/>
        </w:numPr>
        <w:spacing w:after="80"/>
      </w:pPr>
      <w:r>
        <w:t xml:space="preserve">Curriculum that includes accessibility — Fellows learn to design and build accessibly. They graduate caring about it, not just knowing about it.</w:t>
      </w:r>
    </w:p>
    <w:p>
      <w:pPr>
        <w:pStyle w:val="Heading3"/>
      </w:pPr>
      <w:r>
        <w:t xml:space="preserve">What success looks like</w:t>
      </w:r>
    </w:p>
    <w:p>
      <w:pPr>
        <w:pStyle w:val="ListParagraph"/>
        <w:numPr>
          <w:ilvl w:val="0"/>
          <w:numId w:val="3"/>
        </w:numPr>
        <w:spacing w:after="80"/>
      </w:pPr>
      <w:r>
        <w:t xml:space="preserve">People who use systems we have touched can use them without unnecessary friction or shame.</w:t>
      </w:r>
    </w:p>
    <w:p>
      <w:pPr>
        <w:pStyle w:val="ListParagraph"/>
        <w:numPr>
          <w:ilvl w:val="0"/>
          <w:numId w:val="3"/>
        </w:numPr>
        <w:spacing w:after="80"/>
      </w:pPr>
      <w:r>
        <w:t xml:space="preserve">Clients we serve see fewer abandoned forms, fewer complaints, fewer support tickets.</w:t>
      </w:r>
    </w:p>
    <w:p>
      <w:pPr>
        <w:pStyle w:val="ListParagraph"/>
        <w:numPr>
          <w:ilvl w:val="0"/>
          <w:numId w:val="3"/>
        </w:numPr>
        <w:spacing w:after="80"/>
      </w:pPr>
      <w:r>
        <w:t xml:space="preserve">Fellows we train carry accessibility as a value into wherever they go next.</w:t>
      </w:r>
    </w:p>
    <w:p>
      <w:pPr>
        <w:pStyle w:val="Heading2"/>
      </w:pPr>
      <w:r>
        <w:t xml:space="preserve">2.4 Internal Stakeholders</w:t>
      </w:r>
    </w:p>
    <w:p>
      <w:pPr>
        <w:spacing w:after="140"/>
      </w:pPr>
      <w:r>
        <w:t xml:space="preserve">Our staff, fellows, board, and volunteers are not stakeholders in the same way clients and learners are — but the strategy is hollow if it does not name the conditions under which they thrive. We commit to:</w:t>
      </w:r>
    </w:p>
    <w:p>
      <w:pPr>
        <w:pStyle w:val="ListParagraph"/>
        <w:numPr>
          <w:ilvl w:val="0"/>
          <w:numId w:val="3"/>
        </w:numPr>
        <w:spacing w:after="80"/>
      </w:pPr>
      <w:r>
        <w:rPr>
          <w:b/>
          <w:bCs/>
        </w:rPr>
        <w:t xml:space="preserve">For staff: </w:t>
      </w:r>
      <w:r>
        <w:t xml:space="preserve">30-hour workweeks, full benefits regardless of part-time hours, a workplace that respects neurodivergence and life circumstances, real ownership of the work, time to think, and freedom from the false urgency that defines most knowledge work.</w:t>
      </w:r>
    </w:p>
    <w:p>
      <w:pPr>
        <w:pStyle w:val="ListParagraph"/>
        <w:numPr>
          <w:ilvl w:val="0"/>
          <w:numId w:val="3"/>
        </w:numPr>
        <w:spacing w:after="80"/>
      </w:pPr>
      <w:r>
        <w:rPr>
          <w:b/>
          <w:bCs/>
        </w:rPr>
        <w:t xml:space="preserve">For fellows: </w:t>
      </w:r>
      <w:r>
        <w:t xml:space="preserve">An honest, attentive cohort experience. Pathways forward beyond the fellowship. Recognition that they are co-creators of the program, not customers.</w:t>
      </w:r>
    </w:p>
    <w:p>
      <w:pPr>
        <w:pStyle w:val="ListParagraph"/>
        <w:numPr>
          <w:ilvl w:val="0"/>
          <w:numId w:val="3"/>
        </w:numPr>
        <w:spacing w:after="80"/>
      </w:pPr>
      <w:r>
        <w:rPr>
          <w:b/>
          <w:bCs/>
        </w:rPr>
        <w:t xml:space="preserve">For board: </w:t>
      </w:r>
      <w:r>
        <w:t xml:space="preserve">Real influence over strategic direction. Information sufficient to govern responsibly. Recognition that their volunteer time is precious and should be respected with focused, well-prepared meetings and clear asks.</w:t>
      </w:r>
    </w:p>
    <w:p>
      <w:pPr>
        <w:pStyle w:val="ListParagraph"/>
        <w:numPr>
          <w:ilvl w:val="0"/>
          <w:numId w:val="3"/>
        </w:numPr>
        <w:spacing w:after="80"/>
      </w:pPr>
      <w:r>
        <w:rPr>
          <w:b/>
          <w:bCs/>
        </w:rPr>
        <w:t xml:space="preserve">For volunteers and mentors: </w:t>
      </w:r>
      <w:r>
        <w:t xml:space="preserve">Clear roles, the same accessibility considerations we extend to staff and fellows, and meaningful pathways from one-time helping to deeper involvement if they choose.</w:t>
      </w:r>
    </w:p>
    <w:p>
      <w:pPr>
        <w:pStyle w:val="Heading1"/>
        <w:pageBreakBefore/>
      </w:pPr>
      <w:r>
        <w:t xml:space="preserve">Part 3 — How We Work Internally (Teal Practices)</w:t>
      </w:r>
    </w:p>
    <w:p>
      <w:pPr>
        <w:pStyle w:val="Heading2"/>
      </w:pPr>
      <w:r>
        <w:t xml:space="preserve">3.1 The Self-Management Model</w:t>
      </w:r>
    </w:p>
    <w:p>
      <w:pPr>
        <w:spacing w:after="140"/>
      </w:pPr>
      <w:r>
        <w:t xml:space="preserve">handlekraft is small enough that we can adopt teal practices in genuine form — not as buzzwords on a poster but as how decisions actually get made. As we grow, we will protect these practices from the pressures that typically pull organizations back into hierarchical, control-based structures.</w:t>
      </w:r>
    </w:p>
    <w:p>
      <w:pPr>
        <w:pStyle w:val="Heading3"/>
      </w:pPr>
      <w:r>
        <w:t xml:space="preserve">Decision Rights</w:t>
      </w:r>
    </w:p>
    <w:p>
      <w:pPr>
        <w:spacing w:after="140"/>
      </w:pPr>
      <w:r>
        <w:t xml:space="preserve">Decisions are made by the person closest to the work, after appropriate consultation. We use a simplified Advice Process for decisions that affect others:</w:t>
      </w:r>
    </w:p>
    <w:p>
      <w:pPr>
        <w:pStyle w:val="ListParagraph"/>
        <w:numPr>
          <w:ilvl w:val="0"/>
          <w:numId w:val="2"/>
        </w:numPr>
        <w:spacing w:after="80"/>
      </w:pPr>
      <w:r>
        <w:t xml:space="preserve">Anyone can propose and make a decision.</w:t>
      </w:r>
    </w:p>
    <w:p>
      <w:pPr>
        <w:pStyle w:val="ListParagraph"/>
        <w:numPr>
          <w:ilvl w:val="0"/>
          <w:numId w:val="2"/>
        </w:numPr>
        <w:spacing w:after="80"/>
      </w:pPr>
      <w:r>
        <w:t xml:space="preserve">Before deciding, the proposer consults: (a) those significantly affected by the decision, and (b) people with expertise on the matter.</w:t>
      </w:r>
    </w:p>
    <w:p>
      <w:pPr>
        <w:pStyle w:val="ListParagraph"/>
        <w:numPr>
          <w:ilvl w:val="0"/>
          <w:numId w:val="2"/>
        </w:numPr>
        <w:spacing w:after="80"/>
      </w:pPr>
      <w:r>
        <w:t xml:space="preserve">The proposer is not required to reach consensus or follow advice — but is expected to take it seriously and explain their reasoning when they don't.</w:t>
      </w:r>
    </w:p>
    <w:p>
      <w:pPr>
        <w:pStyle w:val="ListParagraph"/>
        <w:numPr>
          <w:ilvl w:val="0"/>
          <w:numId w:val="2"/>
        </w:numPr>
        <w:spacing w:after="80"/>
      </w:pPr>
      <w:r>
        <w:t xml:space="preserve">Once made, the decision is documented and shared so others know.</w:t>
      </w:r>
    </w:p>
    <w:p>
      <w:pPr>
        <w:pStyle w:val="ListParagraph"/>
        <w:numPr>
          <w:ilvl w:val="0"/>
          <w:numId w:val="2"/>
        </w:numPr>
        <w:spacing w:after="80"/>
      </w:pPr>
      <w:r>
        <w:t xml:space="preserve">Decisions that involve material financial commitment, organizational risk, or fundamental direction-setting go to the Board through the Executive Director.</w:t>
      </w:r>
    </w:p>
    <w:p>
      <w:pPr>
        <w:spacing w:after="140"/>
      </w:pPr>
      <w:r>
        <w:t xml:space="preserve">This process scales. Small daily decisions stay with the person doing the work. Larger decisions — hiring, program design, client engagement scope — get appropriately broader input. Truly significant decisions reach the Board. Nothing requires a permission chain.</w:t>
      </w:r>
    </w:p>
    <w:p>
      <w:pPr>
        <w:pStyle w:val="Heading3"/>
      </w:pPr>
      <w:r>
        <w:t xml:space="preserve">What This Looks Like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8" w:val="clear"/>
            <w:tcMar>
              <w:top w:type="dxa" w:w="100"/>
              <w:left w:type="dxa" w:w="140"/>
              <w:bottom w:type="dxa" w:w="100"/>
              <w:right w:type="dxa" w:w="140"/>
            </w:tcMar>
          </w:tcPr>
          <w:p>
            <w:r>
              <w:rPr>
                <w:b/>
                <w:bCs/>
                <w:i w:val="false"/>
                <w:iCs w:val="false"/>
                <w:color w:val="FFFFFF"/>
              </w:rPr>
              <w:t xml:space="preserve">Decision</w:t>
            </w:r>
          </w:p>
        </w:tc>
        <w:tc>
          <w:tcPr>
            <w:tcW w:type="dxa" w:w="4680"/>
            <w:tcBorders>
              <w:top w:val="single" w:color="CCCCCC" w:sz="1"/>
              <w:left w:val="single" w:color="CCCCCC" w:sz="1"/>
              <w:bottom w:val="single" w:color="CCCCCC" w:sz="1"/>
              <w:right w:val="single" w:color="CCCCCC" w:sz="1"/>
            </w:tcBorders>
            <w:shd w:fill="1F4E78" w:val="clear"/>
            <w:tcMar>
              <w:top w:type="dxa" w:w="100"/>
              <w:left w:type="dxa" w:w="140"/>
              <w:bottom w:type="dxa" w:w="100"/>
              <w:right w:type="dxa" w:w="140"/>
            </w:tcMar>
          </w:tcPr>
          <w:p>
            <w:r>
              <w:rPr>
                <w:b/>
                <w:bCs/>
                <w:i w:val="false"/>
                <w:iCs w:val="false"/>
                <w:color w:val="FFFFFF"/>
              </w:rPr>
              <w:t xml:space="preserve">Who decides</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rPr>
              <w:t xml:space="preserve">Which AI tool to use for a specific task</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rPr>
              <w:t xml:space="preserve">The person doing the work</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i w:val="false"/>
                <w:iCs w:val="false"/>
              </w:rPr>
              <w:t xml:space="preserve">How a fellowship session is structured this week</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i w:val="false"/>
                <w:iCs w:val="false"/>
              </w:rPr>
              <w:t xml:space="preserve">The instructor leading the session</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rPr>
              <w:t xml:space="preserve">Whether to take on a particular client engagement</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rPr>
              <w:t xml:space="preserve">Tools and Development Lead, with consultation</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i w:val="false"/>
                <w:iCs w:val="false"/>
              </w:rPr>
              <w:t xml:space="preserve">The marketing voice and approach</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i w:val="false"/>
                <w:iCs w:val="false"/>
              </w:rPr>
              <w:t xml:space="preserve">Marketing and Social Media Lead</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rPr>
              <w:t xml:space="preserve">Curriculum changes within an existing program</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rPr>
              <w:t xml:space="preserve">The instructor team, with documentation</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i w:val="false"/>
                <w:iCs w:val="false"/>
              </w:rPr>
              <w:t xml:space="preserve">New program launch or major curriculum redesign</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i w:val="false"/>
                <w:iCs w:val="false"/>
              </w:rPr>
              <w:t xml:space="preserve">Staff proposal to Executive Director and Board</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rPr>
              <w:t xml:space="preserve">Hiring a new staff member</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rPr>
              <w:t xml:space="preserve">Executive Director, with Board approval for budget</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i w:val="false"/>
                <w:iCs w:val="false"/>
              </w:rPr>
              <w:t xml:space="preserve">Compensation of family member employees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i w:val="false"/>
                <w:iCs w:val="false"/>
              </w:rPr>
              <w:t xml:space="preserve">Board (Compensation Committee, with founder recused)</w:t>
            </w:r>
          </w:p>
        </w:tc>
      </w:tr>
      <w:tr>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rPr>
              <w:t xml:space="preserve">Annual budget</w:t>
            </w:r>
          </w:p>
        </w:tc>
        <w:tc>
          <w:tcPr>
            <w:tcW w:type="dxa" w:w="468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i w:val="false"/>
                <w:iCs w:val="false"/>
              </w:rPr>
              <w:t xml:space="preserve">Board approval</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i w:val="false"/>
                <w:iCs w:val="false"/>
              </w:rPr>
              <w:t xml:space="preserve">Strategic direction (e.g., this plan)</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40"/>
              <w:bottom w:type="dxa" w:w="100"/>
              <w:right w:type="dxa" w:w="140"/>
            </w:tcMar>
          </w:tcPr>
          <w:p>
            <w:r>
              <w:rPr>
                <w:b w:val="false"/>
                <w:bCs w:val="false"/>
                <w:i w:val="false"/>
                <w:iCs w:val="false"/>
              </w:rPr>
              <w:t xml:space="preserve">Board, informed by full staff and stakeholder input</w:t>
            </w:r>
          </w:p>
        </w:tc>
      </w:tr>
    </w:tbl>
    <w:p>
      <w:r>
        <w:t xml:space="preserve"/>
      </w:r>
    </w:p>
    <w:p>
      <w:pPr>
        <w:pStyle w:val="Heading2"/>
      </w:pPr>
      <w:r>
        <w:t xml:space="preserve">3.2 Roles, Not Job Titles</w:t>
      </w:r>
    </w:p>
    <w:p>
      <w:pPr>
        <w:spacing w:after="140"/>
      </w:pPr>
      <w:r>
        <w:t xml:space="preserve">We have employees, but each person carries multiple roles that can shift over time. Initial role distribution:</w:t>
      </w:r>
    </w:p>
    <w:p>
      <w:pPr>
        <w:pStyle w:val="Heading3"/>
      </w:pPr>
      <w:r>
        <w:t xml:space="preserve">Executive Director (Volunteer — Founder)</w:t>
      </w:r>
    </w:p>
    <w:p>
      <w:pPr>
        <w:spacing w:after="140"/>
      </w:pPr>
      <w:r>
        <w:t xml:space="preserve">Roles: Strategic direction, board liaison, primary fundraising lead, organizational integrity, final accountability for compliance and finance. Carries the relationships with major donors, attorneys, accountants, and partners.</w:t>
      </w:r>
    </w:p>
    <w:p>
      <w:pPr>
        <w:pStyle w:val="Heading3"/>
      </w:pPr>
      <w:r>
        <w:t xml:space="preserve">Tools and Development Lead</w:t>
      </w:r>
    </w:p>
    <w:p>
      <w:pPr>
        <w:spacing w:after="140"/>
      </w:pPr>
      <w:r>
        <w:t xml:space="preserve">Roles: Lead instructor for technical fellowship content, primary client-facing technical advisor, lead builder for internal tools, code review and quality, AI tool selection and standards, technical mentorship for fellows.</w:t>
      </w:r>
    </w:p>
    <w:p>
      <w:pPr>
        <w:pStyle w:val="Heading3"/>
      </w:pPr>
      <w:r>
        <w:t xml:space="preserve">Marketing and Social Media Lead</w:t>
      </w:r>
    </w:p>
    <w:p>
      <w:pPr>
        <w:spacing w:after="140"/>
      </w:pPr>
      <w:r>
        <w:t xml:space="preserve">Roles: Public communications voice, content production, fellowship recruitment, alumni community stewardship, donor communications, accessibility lead for our own publications, story collection from clients and fellows.</w:t>
      </w:r>
    </w:p>
    <w:p>
      <w:pPr>
        <w:spacing w:after="140"/>
      </w:pPr>
      <w:r>
        <w:t xml:space="preserve">These are starting roles. As the organization develops, role configurations should be revisited at least annually with the people in them. New roles may emerge (e.g., a Curriculum Lead, an Accessibility Specialist, a Client Success role) and existing roles may shift in response to what the work actually demands.</w:t>
      </w:r>
    </w:p>
    <w:p>
      <w:pPr>
        <w:pStyle w:val="Heading2"/>
      </w:pPr>
      <w:r>
        <w:t xml:space="preserve">3.3 Sustainable Working Hours</w:t>
      </w:r>
    </w:p>
    <w:p>
      <w:pPr>
        <w:spacing w:after="140"/>
      </w:pPr>
      <w:r>
        <w:t xml:space="preserve">We work 30 hours per week as a standard schedule. This is a strategic commitment with practical implications:</w:t>
      </w:r>
    </w:p>
    <w:p>
      <w:pPr>
        <w:pStyle w:val="ListParagraph"/>
        <w:numPr>
          <w:ilvl w:val="0"/>
          <w:numId w:val="3"/>
        </w:numPr>
        <w:spacing w:after="80"/>
      </w:pPr>
      <w:r>
        <w:rPr>
          <w:b/>
          <w:bCs/>
        </w:rPr>
        <w:t xml:space="preserve">It is not a benefit. </w:t>
      </w:r>
      <w:r>
        <w:t xml:space="preserve">It is the design of the role. We do not ask people to do 40-hour jobs in 30 hours.</w:t>
      </w:r>
    </w:p>
    <w:p>
      <w:pPr>
        <w:pStyle w:val="ListParagraph"/>
        <w:numPr>
          <w:ilvl w:val="0"/>
          <w:numId w:val="3"/>
        </w:numPr>
        <w:spacing w:after="80"/>
      </w:pPr>
      <w:r>
        <w:rPr>
          <w:b/>
          <w:bCs/>
        </w:rPr>
        <w:t xml:space="preserve">Scope follows hours, not the reverse. </w:t>
      </w:r>
      <w:r>
        <w:t xml:space="preserve">When work expands beyond what 30 hours can sustainably accommodate, we adjust scope, hire help, or say no to new work. We do not ask people to absorb the difference.</w:t>
      </w:r>
    </w:p>
    <w:p>
      <w:pPr>
        <w:pStyle w:val="ListParagraph"/>
        <w:numPr>
          <w:ilvl w:val="0"/>
          <w:numId w:val="3"/>
        </w:numPr>
        <w:spacing w:after="80"/>
      </w:pPr>
      <w:r>
        <w:rPr>
          <w:b/>
          <w:bCs/>
        </w:rPr>
        <w:t xml:space="preserve">Coverage is a team responsibility, not an individual one. </w:t>
      </w:r>
      <w:r>
        <w:t xml:space="preserve">When someone is out, work waits or someone steps in. We do not maintain the fiction that a 30-hour person can be reached at all hours when something urgent comes up.</w:t>
      </w:r>
    </w:p>
    <w:p>
      <w:pPr>
        <w:pStyle w:val="ListParagraph"/>
        <w:numPr>
          <w:ilvl w:val="0"/>
          <w:numId w:val="3"/>
        </w:numPr>
        <w:spacing w:after="80"/>
      </w:pPr>
      <w:r>
        <w:rPr>
          <w:b/>
          <w:bCs/>
        </w:rPr>
        <w:t xml:space="preserve">Productivity is measured by outcomes, not hours visible. </w:t>
      </w:r>
      <w:r>
        <w:t xml:space="preserve">We don't expect people to be online during specific hours unless required for collaboration. Deep work and async work are equally legitimate.</w:t>
      </w:r>
    </w:p>
    <w:p>
      <w:pPr>
        <w:spacing w:after="140"/>
      </w:pPr>
      <w:r>
        <w:t xml:space="preserve">As we grow, we may experiment with even shorter schedules (e.g., a 4-day week, summer hours) — never longer ones. The 30-hour standard is a floor, not a ceiling.</w:t>
      </w:r>
    </w:p>
    <w:p>
      <w:pPr>
        <w:pStyle w:val="Heading2"/>
      </w:pPr>
      <w:r>
        <w:t xml:space="preserve">3.4 Wholeness Practices</w:t>
      </w:r>
    </w:p>
    <w:p>
      <w:pPr>
        <w:spacing w:after="140"/>
      </w:pPr>
      <w:r>
        <w:t xml:space="preserve">Wholeness — the practice of bringing your whole self to work — requires intentional cultural design. Our practices include:</w:t>
      </w:r>
    </w:p>
    <w:p>
      <w:pPr>
        <w:pStyle w:val="ListParagraph"/>
        <w:numPr>
          <w:ilvl w:val="0"/>
          <w:numId w:val="3"/>
        </w:numPr>
        <w:spacing w:after="80"/>
      </w:pPr>
      <w:r>
        <w:rPr>
          <w:b/>
          <w:bCs/>
        </w:rPr>
        <w:t xml:space="preserve">Check-ins as a standing practice. </w:t>
      </w:r>
      <w:r>
        <w:t xml:space="preserve">Meetings start with brief personal check-ins. People share what they're bringing into the meeting — energy, distraction, joy, frustration. This is normalized, not performed.</w:t>
      </w:r>
    </w:p>
    <w:p>
      <w:pPr>
        <w:pStyle w:val="ListParagraph"/>
        <w:numPr>
          <w:ilvl w:val="0"/>
          <w:numId w:val="3"/>
        </w:numPr>
        <w:spacing w:after="80"/>
      </w:pPr>
      <w:r>
        <w:rPr>
          <w:b/>
          <w:bCs/>
        </w:rPr>
        <w:t xml:space="preserve">Nonviolent Communication as shared vocabulary. </w:t>
      </w:r>
      <w:r>
        <w:t xml:space="preserve">All staff are introduced to NVC during onboarding. We use the language of observation, feeling, need, and request when working through difficulty.</w:t>
      </w:r>
    </w:p>
    <w:p>
      <w:pPr>
        <w:pStyle w:val="ListParagraph"/>
        <w:numPr>
          <w:ilvl w:val="0"/>
          <w:numId w:val="3"/>
        </w:numPr>
        <w:spacing w:after="80"/>
      </w:pPr>
      <w:r>
        <w:rPr>
          <w:b/>
          <w:bCs/>
        </w:rPr>
        <w:t xml:space="preserve">Accommodations are a default, not an exception. </w:t>
      </w:r>
      <w:r>
        <w:t xml:space="preserve">If someone needs to dim a video, take a meeting walking, sit with their cat, work asynchronously on a hard day, or reschedule because their kid is sick — we don't make them justify it.</w:t>
      </w:r>
    </w:p>
    <w:p>
      <w:pPr>
        <w:pStyle w:val="ListParagraph"/>
        <w:numPr>
          <w:ilvl w:val="0"/>
          <w:numId w:val="3"/>
        </w:numPr>
        <w:spacing w:after="80"/>
      </w:pPr>
      <w:r>
        <w:rPr>
          <w:b/>
          <w:bCs/>
        </w:rPr>
        <w:t xml:space="preserve">Disagreement is welcomed. </w:t>
      </w:r>
      <w:r>
        <w:t xml:space="preserve">We expect dissent. People are explicitly invited to push back on the Executive Director, the Board, or each other. The test of culture is what happens when someone says "I don't agree with this."</w:t>
      </w:r>
    </w:p>
    <w:p>
      <w:pPr>
        <w:pStyle w:val="ListParagraph"/>
        <w:numPr>
          <w:ilvl w:val="0"/>
          <w:numId w:val="3"/>
        </w:numPr>
        <w:spacing w:after="80"/>
      </w:pPr>
      <w:r>
        <w:rPr>
          <w:b/>
          <w:bCs/>
        </w:rPr>
        <w:t xml:space="preserve">Time off is taken. </w:t>
      </w:r>
      <w:r>
        <w:t xml:space="preserve">Unlimited PTO is supported by minimum expectations: at least three weeks per year. We track to make sure people use it. The Executive Director takes time off too.</w:t>
      </w:r>
    </w:p>
    <w:p>
      <w:pPr>
        <w:pStyle w:val="ListParagraph"/>
        <w:numPr>
          <w:ilvl w:val="0"/>
          <w:numId w:val="3"/>
        </w:numPr>
        <w:spacing w:after="80"/>
      </w:pPr>
      <w:r>
        <w:rPr>
          <w:b/>
          <w:bCs/>
        </w:rPr>
        <w:t xml:space="preserve">We talk about values out loud. </w:t>
      </w:r>
      <w:r>
        <w:t xml:space="preserve">Quarterly, we revisit the principles in this plan together. We name where we are living up to them and where we are not.</w:t>
      </w:r>
    </w:p>
    <w:p>
      <w:pPr>
        <w:pStyle w:val="Heading2"/>
      </w:pPr>
      <w:r>
        <w:t xml:space="preserve">3.5 Build Internally — But Not Everything</w:t>
      </w:r>
    </w:p>
    <w:p>
      <w:pPr>
        <w:spacing w:after="140"/>
      </w:pPr>
      <w:r>
        <w:t xml:space="preserve">We build our own internal tools where doing so serves curriculum, supports our practice, and respects our capacity. We don't rebuild what professional services already do well. The dividing line:</w:t>
      </w:r>
    </w:p>
    <w:p>
      <w:pPr>
        <w:pStyle w:val="Heading3"/>
      </w:pPr>
      <w:r>
        <w:t xml:space="preserve">We build internally</w:t>
      </w:r>
    </w:p>
    <w:p>
      <w:pPr>
        <w:pStyle w:val="ListParagraph"/>
        <w:numPr>
          <w:ilvl w:val="0"/>
          <w:numId w:val="3"/>
        </w:numPr>
        <w:spacing w:after="80"/>
      </w:pPr>
      <w:r>
        <w:t xml:space="preserve">Project tracking and task management</w:t>
      </w:r>
    </w:p>
    <w:p>
      <w:pPr>
        <w:pStyle w:val="ListParagraph"/>
        <w:numPr>
          <w:ilvl w:val="0"/>
          <w:numId w:val="3"/>
        </w:numPr>
        <w:spacing w:after="80"/>
      </w:pPr>
      <w:r>
        <w:t xml:space="preserve">Light donor management and contact tracking</w:t>
      </w:r>
    </w:p>
    <w:p>
      <w:pPr>
        <w:pStyle w:val="ListParagraph"/>
        <w:numPr>
          <w:ilvl w:val="0"/>
          <w:numId w:val="3"/>
        </w:numPr>
        <w:spacing w:after="80"/>
      </w:pPr>
      <w:r>
        <w:t xml:space="preserve">Custom landing pages, application forms, and microsites</w:t>
      </w:r>
    </w:p>
    <w:p>
      <w:pPr>
        <w:pStyle w:val="ListParagraph"/>
        <w:numPr>
          <w:ilvl w:val="0"/>
          <w:numId w:val="3"/>
        </w:numPr>
        <w:spacing w:after="80"/>
      </w:pPr>
      <w:r>
        <w:t xml:space="preserve">Learning Management System (eventually — likely Year 2-3)</w:t>
      </w:r>
    </w:p>
    <w:p>
      <w:pPr>
        <w:pStyle w:val="ListParagraph"/>
        <w:numPr>
          <w:ilvl w:val="0"/>
          <w:numId w:val="3"/>
        </w:numPr>
        <w:spacing w:after="80"/>
      </w:pPr>
      <w:r>
        <w:t xml:space="preserve">Internal documentation and knowledge base</w:t>
      </w:r>
    </w:p>
    <w:p>
      <w:pPr>
        <w:pStyle w:val="ListParagraph"/>
        <w:numPr>
          <w:ilvl w:val="0"/>
          <w:numId w:val="3"/>
        </w:numPr>
        <w:spacing w:after="80"/>
      </w:pPr>
      <w:r>
        <w:t xml:space="preserve">Simple integrations and automations between vendor tools</w:t>
      </w:r>
    </w:p>
    <w:p>
      <w:pPr>
        <w:pStyle w:val="Heading3"/>
      </w:pPr>
      <w:r>
        <w:t xml:space="preserve">We use vendors</w:t>
      </w:r>
    </w:p>
    <w:p>
      <w:pPr>
        <w:pStyle w:val="ListParagraph"/>
        <w:numPr>
          <w:ilvl w:val="0"/>
          <w:numId w:val="3"/>
        </w:numPr>
        <w:spacing w:after="80"/>
      </w:pPr>
      <w:r>
        <w:t xml:space="preserve">Payroll, taxes, HR compliance (Gusto)</w:t>
      </w:r>
    </w:p>
    <w:p>
      <w:pPr>
        <w:pStyle w:val="ListParagraph"/>
        <w:numPr>
          <w:ilvl w:val="0"/>
          <w:numId w:val="3"/>
        </w:numPr>
        <w:spacing w:after="80"/>
      </w:pPr>
      <w:r>
        <w:t xml:space="preserve">Accounting and bookkeeping (QuickBooks Online)</w:t>
      </w:r>
    </w:p>
    <w:p>
      <w:pPr>
        <w:pStyle w:val="ListParagraph"/>
        <w:numPr>
          <w:ilvl w:val="0"/>
          <w:numId w:val="3"/>
        </w:numPr>
        <w:spacing w:after="80"/>
      </w:pPr>
      <w:r>
        <w:t xml:space="preserve">Email and calendaring (Google Workspace, free for nonprofits)</w:t>
      </w:r>
    </w:p>
    <w:p>
      <w:pPr>
        <w:pStyle w:val="ListParagraph"/>
        <w:numPr>
          <w:ilvl w:val="0"/>
          <w:numId w:val="3"/>
        </w:numPr>
        <w:spacing w:after="80"/>
      </w:pPr>
      <w:r>
        <w:t xml:space="preserve">Video conferencing (Zoom, with nonprofit discount)</w:t>
      </w:r>
    </w:p>
    <w:p>
      <w:pPr>
        <w:pStyle w:val="ListParagraph"/>
        <w:numPr>
          <w:ilvl w:val="0"/>
          <w:numId w:val="3"/>
        </w:numPr>
        <w:spacing w:after="80"/>
      </w:pPr>
      <w:r>
        <w:t xml:space="preserve">Source code and version control (GitHub, free for nonprofits)</w:t>
      </w:r>
    </w:p>
    <w:p>
      <w:pPr>
        <w:pStyle w:val="ListParagraph"/>
        <w:numPr>
          <w:ilvl w:val="0"/>
          <w:numId w:val="3"/>
        </w:numPr>
        <w:spacing w:after="80"/>
      </w:pPr>
      <w:r>
        <w:t xml:space="preserve">Hosting and deployment (Replit Pro)</w:t>
      </w:r>
    </w:p>
    <w:p>
      <w:pPr>
        <w:pStyle w:val="ListParagraph"/>
        <w:numPr>
          <w:ilvl w:val="0"/>
          <w:numId w:val="3"/>
        </w:numPr>
        <w:spacing w:after="80"/>
      </w:pPr>
      <w:r>
        <w:t xml:space="preserve">Insurance, legal, and tax advice</w:t>
      </w:r>
    </w:p>
    <w:p>
      <w:pPr>
        <w:spacing w:after="140"/>
      </w:pPr>
      <w:r>
        <w:t xml:space="preserve">This is not just a cost decision. Building tools we depend on for compliance creates risk. Building tools we use for curriculum creates expertise and resilience. The principle is: build what teaches us; buy what protects us.</w:t>
      </w:r>
    </w:p>
    <w:p>
      <w:pPr>
        <w:pStyle w:val="Heading1"/>
        <w:pageBreakBefore/>
      </w:pPr>
      <w:r>
        <w:t xml:space="preserve">Part 4 — Accessibility as Strategic Direction</w:t>
      </w:r>
    </w:p>
    <w:p>
      <w:pPr>
        <w:spacing w:after="140"/>
      </w:pPr>
      <w:r>
        <w:t xml:space="preserve">Accessibility deserves its own section because it is more than a value or a checkbox — it is a strategic differentiator and a source of unique expertise. Most technology consultancies treat accessibility as compliance work. Most education programs treat neurodivergent learners as edge cases. handlekraft inverts this: accessibility is design default, neurodivergence is normal, and our expertise grows from these commitments.</w:t>
      </w:r>
    </w:p>
    <w:p>
      <w:pPr>
        <w:pStyle w:val="Heading2"/>
      </w:pPr>
      <w:r>
        <w:t xml:space="preserve">4.1 Why Accessibility-First</w:t>
      </w:r>
    </w:p>
    <w:p>
      <w:pPr>
        <w:spacing w:after="140"/>
      </w:pPr>
      <w:r>
        <w:t xml:space="preserve">Three reasons. Each is genuine.</w:t>
      </w:r>
    </w:p>
    <w:p>
      <w:pPr>
        <w:pStyle w:val="Heading3"/>
      </w:pPr>
      <w:r>
        <w:t xml:space="preserve">It is the right thing to do</w:t>
      </w:r>
    </w:p>
    <w:p>
      <w:pPr>
        <w:spacing w:after="140"/>
      </w:pPr>
      <w:r>
        <w:t xml:space="preserve">People with disabilities, learning differences, and non-standard cognitive profiles have been systematically underserved by digital systems. Our clients serve disproportionate numbers of these people. Our learners include disproportionate numbers of these people. Doing this work without an accessibility lens would be a quiet betrayal of who we say we are.</w:t>
      </w:r>
    </w:p>
    <w:p>
      <w:pPr>
        <w:pStyle w:val="Heading3"/>
      </w:pPr>
      <w:r>
        <w:t xml:space="preserve">It is a strategic differentiator</w:t>
      </w:r>
    </w:p>
    <w:p>
      <w:pPr>
        <w:spacing w:after="140"/>
      </w:pPr>
      <w:r>
        <w:t xml:space="preserve">Most small consultancies don't do this well. Most bootcamps don't do this well. By making accessibility a defining feature of our practice, we create a real reason for clients to choose us, for fellows to apply, for partners to refer to us, and for funders to invest. The market for accessibility-fluent consultancies and accessibility-aware new technology talent is large and growing.</w:t>
      </w:r>
    </w:p>
    <w:p>
      <w:pPr>
        <w:pStyle w:val="Heading3"/>
      </w:pPr>
      <w:r>
        <w:t xml:space="preserve">It opens funding paths</w:t>
      </w:r>
    </w:p>
    <w:p>
      <w:pPr>
        <w:spacing w:after="140"/>
      </w:pPr>
      <w:r>
        <w:t xml:space="preserve">Workforce development grants increasingly emphasize disability inclusion, justice-impacted populations, and other historically excluded groups. Government programs like California's Department of Rehabilitation, the federal AbilityOne program, and Workforce Innovation and Opportunity Act (WIOA) Section 188 have explicit accessibility requirements. Foundations focused on disability — including Ford Foundation, Robert Wood Johnson Foundation, and disability-specific funders — fund organizations that actually do this work, not those that mention it. By building accessibility into our DNA from year one, we are positioned to apply for these funding sources credibly when we become eligible.</w:t>
      </w:r>
    </w:p>
    <w:p>
      <w:pPr>
        <w:pStyle w:val="Heading2"/>
      </w:pPr>
      <w:r>
        <w:t xml:space="preserve">4.2 What Accessibility Looks Like in Our Work</w:t>
      </w:r>
    </w:p>
    <w:p>
      <w:pPr>
        <w:pStyle w:val="Heading3"/>
      </w:pPr>
      <w:r>
        <w:t xml:space="preserve">In Client Engagements</w:t>
      </w:r>
    </w:p>
    <w:p>
      <w:pPr>
        <w:pStyle w:val="ListParagraph"/>
        <w:numPr>
          <w:ilvl w:val="0"/>
          <w:numId w:val="3"/>
        </w:numPr>
        <w:spacing w:after="80"/>
      </w:pPr>
      <w:r>
        <w:t xml:space="preserve">Every engagement includes an accessibility component — even a small one — at no upcharge.</w:t>
      </w:r>
    </w:p>
    <w:p>
      <w:pPr>
        <w:pStyle w:val="ListParagraph"/>
        <w:numPr>
          <w:ilvl w:val="0"/>
          <w:numId w:val="3"/>
        </w:numPr>
        <w:spacing w:after="80"/>
      </w:pPr>
      <w:r>
        <w:t xml:space="preserve">Tool recommendations include accessibility evaluation. Tools with poor accessibility are deprioritized regardless of feature richness.</w:t>
      </w:r>
    </w:p>
    <w:p>
      <w:pPr>
        <w:pStyle w:val="ListParagraph"/>
        <w:numPr>
          <w:ilvl w:val="0"/>
          <w:numId w:val="3"/>
        </w:numPr>
        <w:spacing w:after="80"/>
      </w:pPr>
      <w:r>
        <w:t xml:space="preserve">Forms and intake systems we configure follow plain-language and trauma-informed principles by default.</w:t>
      </w:r>
    </w:p>
    <w:p>
      <w:pPr>
        <w:pStyle w:val="ListParagraph"/>
        <w:numPr>
          <w:ilvl w:val="0"/>
          <w:numId w:val="3"/>
        </w:numPr>
        <w:spacing w:after="80"/>
      </w:pPr>
      <w:r>
        <w:t xml:space="preserve">We specifically offer accessibility audit as a stand-alone service for clients who want one.</w:t>
      </w:r>
    </w:p>
    <w:p>
      <w:pPr>
        <w:pStyle w:val="Heading3"/>
      </w:pPr>
      <w:r>
        <w:t xml:space="preserve">In Fellowship Programs</w:t>
      </w:r>
    </w:p>
    <w:p>
      <w:pPr>
        <w:pStyle w:val="ListParagraph"/>
        <w:numPr>
          <w:ilvl w:val="0"/>
          <w:numId w:val="3"/>
        </w:numPr>
        <w:spacing w:after="80"/>
      </w:pPr>
      <w:r>
        <w:t xml:space="preserve">Curriculum is designed with neurodivergent learners in mind: clear structure, multiple modalities, time for processing, recorded sessions for asynchronous review.</w:t>
      </w:r>
    </w:p>
    <w:p>
      <w:pPr>
        <w:pStyle w:val="ListParagraph"/>
        <w:numPr>
          <w:ilvl w:val="0"/>
          <w:numId w:val="3"/>
        </w:numPr>
        <w:spacing w:after="80"/>
      </w:pPr>
      <w:r>
        <w:t xml:space="preserve">Fellows are taught accessibility as part of the technical curriculum — WCAG fundamentals, screen reader basics, color contrast, semantic HTML, alt text — not as a separate add-on module.</w:t>
      </w:r>
    </w:p>
    <w:p>
      <w:pPr>
        <w:pStyle w:val="ListParagraph"/>
        <w:numPr>
          <w:ilvl w:val="0"/>
          <w:numId w:val="3"/>
        </w:numPr>
        <w:spacing w:after="80"/>
      </w:pPr>
      <w:r>
        <w:t xml:space="preserve">Application processes are designed to be accessible: alternative ways to demonstrate capability, plain-language criteria, accommodations available without requiring formal documentation.</w:t>
      </w:r>
    </w:p>
    <w:p>
      <w:pPr>
        <w:pStyle w:val="ListParagraph"/>
        <w:numPr>
          <w:ilvl w:val="0"/>
          <w:numId w:val="3"/>
        </w:numPr>
        <w:spacing w:after="80"/>
      </w:pPr>
      <w:r>
        <w:t xml:space="preserve">Mentorship pairs are sensitive to communication preferences: written-first for some, video-first for others, asynchronous for others.</w:t>
      </w:r>
    </w:p>
    <w:p>
      <w:pPr>
        <w:pStyle w:val="Heading3"/>
      </w:pPr>
      <w:r>
        <w:t xml:space="preserve">In Internal Operations</w:t>
      </w:r>
    </w:p>
    <w:p>
      <w:pPr>
        <w:pStyle w:val="ListParagraph"/>
        <w:numPr>
          <w:ilvl w:val="0"/>
          <w:numId w:val="3"/>
        </w:numPr>
        <w:spacing w:after="80"/>
      </w:pPr>
      <w:r>
        <w:t xml:space="preserve">Our own documentation is written in plain language. Our website meets WCAG 2.1 AA minimum.</w:t>
      </w:r>
    </w:p>
    <w:p>
      <w:pPr>
        <w:pStyle w:val="ListParagraph"/>
        <w:numPr>
          <w:ilvl w:val="0"/>
          <w:numId w:val="3"/>
        </w:numPr>
        <w:spacing w:after="80"/>
      </w:pPr>
      <w:r>
        <w:t xml:space="preserve">Meetings include captions by default. Materials are circulated in advance for those who process better with reading time.</w:t>
      </w:r>
    </w:p>
    <w:p>
      <w:pPr>
        <w:pStyle w:val="ListParagraph"/>
        <w:numPr>
          <w:ilvl w:val="0"/>
          <w:numId w:val="3"/>
        </w:numPr>
        <w:spacing w:after="80"/>
      </w:pPr>
      <w:r>
        <w:t xml:space="preserve">Our own hiring processes consider neurodivergent candidates fairly: structured interviews, written prompts where possible, accommodations available.</w:t>
      </w:r>
    </w:p>
    <w:p>
      <w:pPr>
        <w:pStyle w:val="ListParagraph"/>
        <w:numPr>
          <w:ilvl w:val="0"/>
          <w:numId w:val="3"/>
        </w:numPr>
        <w:spacing w:after="80"/>
      </w:pPr>
      <w:r>
        <w:t xml:space="preserve">We measure ourselves on this: an annual self-assessment of our own accessibility practices.</w:t>
      </w:r>
    </w:p>
    <w:p>
      <w:pPr>
        <w:pStyle w:val="Heading2"/>
      </w:pPr>
      <w:r>
        <w:t xml:space="preserve">4.3 Specific Populations We Serve Deliberately</w:t>
      </w:r>
    </w:p>
    <w:p>
      <w:pPr>
        <w:spacing w:after="140"/>
      </w:pPr>
      <w:r>
        <w:t xml:space="preserve">These are not the only populations we serve, but they are populations we have specifically considered in our program design and where we want to demonstrate excellence.</w:t>
      </w:r>
    </w:p>
    <w:p>
      <w:pPr>
        <w:pStyle w:val="Heading3"/>
      </w:pPr>
      <w:r>
        <w:t xml:space="preserve">ADHD and Executive Function Differences</w:t>
      </w:r>
    </w:p>
    <w:p>
      <w:pPr>
        <w:spacing w:after="140"/>
      </w:pPr>
      <w:r>
        <w:t xml:space="preserve">Cohort structure with clear signposting. Externalized organization (shared task lists, calendar invites, written agendas). Permission to break down tasks differently than peers. Regular check-ins that catch drift early. Coaching emphasis on building systems rather than relying on willpower.</w:t>
      </w:r>
    </w:p>
    <w:p>
      <w:pPr>
        <w:pStyle w:val="Heading3"/>
      </w:pPr>
      <w:r>
        <w:t xml:space="preserve">Autism Spectrum and Sensory Differences</w:t>
      </w:r>
    </w:p>
    <w:p>
      <w:pPr>
        <w:spacing w:after="140"/>
      </w:pPr>
      <w:r>
        <w:t xml:space="preserve">Predictable schedules. Written communication options. Quiet remote environment (no forced video, no surprise calls). Direct, literal language norms. Honor of pattern-recognition strengths and depth-of-focus strengths. Clear expectations and feedback rather than implicit social signals.</w:t>
      </w:r>
    </w:p>
    <w:p>
      <w:pPr>
        <w:pStyle w:val="Heading3"/>
      </w:pPr>
      <w:r>
        <w:t xml:space="preserve">Learning Differences (Dyslexia, Dyscalculia, etc.)</w:t>
      </w:r>
    </w:p>
    <w:p>
      <w:pPr>
        <w:spacing w:after="140"/>
      </w:pPr>
      <w:r>
        <w:t xml:space="preserve">Visual and auditory alternatives to dense text. Tools that read content aloud. Patient peer review processes. Generous use of templates and examples. Content paced for understanding rather than coverage.</w:t>
      </w:r>
    </w:p>
    <w:p>
      <w:pPr>
        <w:pStyle w:val="Heading3"/>
      </w:pPr>
      <w:r>
        <w:t xml:space="preserve">Underserved and Justice-Impacted Communities</w:t>
      </w:r>
    </w:p>
    <w:p>
      <w:pPr>
        <w:spacing w:after="140"/>
      </w:pPr>
      <w:r>
        <w:t xml:space="preserve">No requirement to disclose history. References-flexible application processes. Fellowship stipends in future years to make participation possible without competing financial pressures. Pathways that don't require credentials gatekeepers can deny. Connections to employer partners willing to hire on capability.</w:t>
      </w:r>
    </w:p>
    <w:p>
      <w:pPr>
        <w:pStyle w:val="Heading3"/>
      </w:pPr>
      <w:r>
        <w:t xml:space="preserve">Veterans Including Other-Than-Honorable Discharges</w:t>
      </w:r>
    </w:p>
    <w:p>
      <w:pPr>
        <w:spacing w:after="140"/>
      </w:pPr>
      <w:r>
        <w:t xml:space="preserve">Recognition that OTH discharge often reflects trauma, mental health, or systemic injustice rather than character. Outreach through organizations that serve OTH veterans (where their own VA benefits are limited or unavailable). Curriculum that respects military experience as a strength rather than treating it as needing translation.</w:t>
      </w:r>
    </w:p>
    <w:p>
      <w:pPr>
        <w:pStyle w:val="Heading3"/>
      </w:pPr>
      <w:r>
        <w:t xml:space="preserve">Single Parents and Caregivers</w:t>
      </w:r>
    </w:p>
    <w:p>
      <w:pPr>
        <w:spacing w:after="140"/>
      </w:pPr>
      <w:r>
        <w:t xml:space="preserve">Asynchronous and recorded options for nearly all live content. Schedule predictability. No expectation of face-time outside scheduled sessions. Genuinely flexible evening and weekend pacing where possible.</w:t>
      </w:r>
    </w:p>
    <w:p>
      <w:pPr>
        <w:pStyle w:val="Heading2"/>
      </w:pPr>
      <w:r>
        <w:t xml:space="preserve">4.4 What This Earns Us</w:t>
      </w:r>
    </w:p>
    <w:p>
      <w:pPr>
        <w:spacing w:after="140"/>
      </w:pPr>
      <w:r>
        <w:t xml:space="preserve">By doing this work seriously, over time, we expect to:</w:t>
      </w:r>
    </w:p>
    <w:p>
      <w:pPr>
        <w:pStyle w:val="ListParagraph"/>
        <w:numPr>
          <w:ilvl w:val="0"/>
          <w:numId w:val="3"/>
        </w:numPr>
        <w:spacing w:after="80"/>
      </w:pPr>
      <w:r>
        <w:t xml:space="preserve">Develop genuine expertise that becomes part of our identity</w:t>
      </w:r>
    </w:p>
    <w:p>
      <w:pPr>
        <w:pStyle w:val="ListParagraph"/>
        <w:numPr>
          <w:ilvl w:val="0"/>
          <w:numId w:val="3"/>
        </w:numPr>
        <w:spacing w:after="80"/>
      </w:pPr>
      <w:r>
        <w:t xml:space="preserve">Build relationships with disability advocacy organizations, re-entry programs, veteran service organizations, and accessibility-focused funders</w:t>
      </w:r>
    </w:p>
    <w:p>
      <w:pPr>
        <w:pStyle w:val="ListParagraph"/>
        <w:numPr>
          <w:ilvl w:val="0"/>
          <w:numId w:val="3"/>
        </w:numPr>
        <w:spacing w:after="80"/>
      </w:pPr>
      <w:r>
        <w:t xml:space="preserve">Create alumni networks with members who advocate for accessibility in their own workplaces</w:t>
      </w:r>
    </w:p>
    <w:p>
      <w:pPr>
        <w:pStyle w:val="ListParagraph"/>
        <w:numPr>
          <w:ilvl w:val="0"/>
          <w:numId w:val="3"/>
        </w:numPr>
        <w:spacing w:after="80"/>
      </w:pPr>
      <w:r>
        <w:t xml:space="preserve">Position ourselves credibly for grants and contracts that prioritize this work</w:t>
      </w:r>
    </w:p>
    <w:p>
      <w:pPr>
        <w:pStyle w:val="ListParagraph"/>
        <w:numPr>
          <w:ilvl w:val="0"/>
          <w:numId w:val="3"/>
        </w:numPr>
        <w:spacing w:after="80"/>
      </w:pPr>
      <w:r>
        <w:t xml:space="preserve">Earn the trust of clients whose end-users include people whom technology has historically failed</w:t>
      </w:r>
    </w:p>
    <w:p>
      <w:pPr>
        <w:pStyle w:val="Heading1"/>
        <w:pageBreakBefore/>
      </w:pPr>
      <w:r>
        <w:t xml:space="preserve">Part 5 — Strategic Direction Over Five Years</w:t>
      </w:r>
    </w:p>
    <w:p>
      <w:pPr>
        <w:spacing w:after="140"/>
      </w:pPr>
      <w:r>
        <w:t xml:space="preserve">In keeping with the emergent philosophy of this plan, the year-by-year direction below describes intent, not commitment. Specific milestones will be set quarterly by the Board with staff input, based on what we are actually learning.</w:t>
      </w:r>
    </w:p>
    <w:p>
      <w:pPr>
        <w:pStyle w:val="Heading2"/>
      </w:pPr>
      <w:r>
        <w:t xml:space="preserve">5.1 Year 1 (September 2026 — August 2027): Foundations</w:t>
      </w:r>
    </w:p>
    <w:p>
      <w:pPr>
        <w:spacing w:after="140"/>
      </w:pPr>
      <w:r>
        <w:t xml:space="preserve">The goal of Year 1 is to operate well at small scale and learn what good looks like. We do not need to demonstrate scale; we need to demonstrate quality. Specifically:</w:t>
      </w:r>
    </w:p>
    <w:p>
      <w:pPr>
        <w:pStyle w:val="ListParagraph"/>
        <w:numPr>
          <w:ilvl w:val="0"/>
          <w:numId w:val="3"/>
        </w:numPr>
        <w:spacing w:after="80"/>
      </w:pPr>
      <w:r>
        <w:rPr>
          <w:b/>
          <w:bCs/>
        </w:rPr>
        <w:t xml:space="preserve">Operations: </w:t>
      </w:r>
      <w:r>
        <w:t xml:space="preserve">All compliance, HR, insurance, banking, and infrastructure in place. Bylaws and policies adopted and followed. First Form 990 filed. First annual board cycle completed.</w:t>
      </w:r>
    </w:p>
    <w:p>
      <w:pPr>
        <w:pStyle w:val="ListParagraph"/>
        <w:numPr>
          <w:ilvl w:val="0"/>
          <w:numId w:val="3"/>
        </w:numPr>
        <w:spacing w:after="80"/>
      </w:pPr>
      <w:r>
        <w:rPr>
          <w:b/>
          <w:bCs/>
        </w:rPr>
        <w:t xml:space="preserve">Programs: </w:t>
      </w:r>
      <w:r>
        <w:t xml:space="preserve">First Tier 1 cohort (target 6-8 fellows) launched and graduated. 2-4 client engagements completed, with at least one accessibility audit and one configuration-only engagement.</w:t>
      </w:r>
    </w:p>
    <w:p>
      <w:pPr>
        <w:pStyle w:val="ListParagraph"/>
        <w:numPr>
          <w:ilvl w:val="0"/>
          <w:numId w:val="3"/>
        </w:numPr>
        <w:spacing w:after="80"/>
      </w:pPr>
      <w:r>
        <w:rPr>
          <w:b/>
          <w:bCs/>
        </w:rPr>
        <w:t xml:space="preserve">Learning: </w:t>
      </w:r>
      <w:r>
        <w:t xml:space="preserve">What clients actually need vs. what we expected. What fellowship pacing actually works. Where the model needs adjustment.</w:t>
      </w:r>
    </w:p>
    <w:p>
      <w:pPr>
        <w:pStyle w:val="ListParagraph"/>
        <w:numPr>
          <w:ilvl w:val="0"/>
          <w:numId w:val="3"/>
        </w:numPr>
        <w:spacing w:after="80"/>
      </w:pPr>
      <w:r>
        <w:rPr>
          <w:b/>
          <w:bCs/>
        </w:rPr>
        <w:t xml:space="preserve">Culture: </w:t>
      </w:r>
      <w:r>
        <w:t xml:space="preserve">Self-management practices in place. NVC and check-ins normalized. 30-hour week sustained without scope creep.</w:t>
      </w:r>
    </w:p>
    <w:p>
      <w:pPr>
        <w:pStyle w:val="ListParagraph"/>
        <w:numPr>
          <w:ilvl w:val="0"/>
          <w:numId w:val="3"/>
        </w:numPr>
        <w:spacing w:after="80"/>
      </w:pPr>
      <w:r>
        <w:rPr>
          <w:b/>
          <w:bCs/>
        </w:rPr>
        <w:t xml:space="preserve">Funding: </w:t>
      </w:r>
      <w:r>
        <w:t xml:space="preserve">$220K founder funding via DAF received. First small individual gifts ($5-10K range) cultivated.</w:t>
      </w:r>
    </w:p>
    <w:p>
      <w:pPr>
        <w:pStyle w:val="ListParagraph"/>
        <w:numPr>
          <w:ilvl w:val="0"/>
          <w:numId w:val="3"/>
        </w:numPr>
        <w:spacing w:after="80"/>
      </w:pPr>
      <w:r>
        <w:rPr>
          <w:b/>
          <w:bCs/>
        </w:rPr>
        <w:t xml:space="preserve">Stakeholder voice: </w:t>
      </w:r>
      <w:r>
        <w:t xml:space="preserve">Documented feedback from at least 4 clients and 6 fellows informing Year 2 design.</w:t>
      </w:r>
    </w:p>
    <w:p>
      <w:pPr>
        <w:pBdr>
          <w:left w:val="single" w:color="1F4E78" w:sz="18" w:space="8"/>
        </w:pBdr>
        <w:shd w:fill="DDEBF7" w:val="clear"/>
        <w:spacing w:after="120" w:before="120"/>
      </w:pPr>
      <w:r>
        <w:rPr>
          <w:i/>
          <w:iCs/>
        </w:rPr>
        <w:t xml:space="preserve">Year 1 success is not measured by output. It is measured by whether we have built the foundation to operate well at this size, indefinitely, before deciding to grow.</w:t>
      </w:r>
    </w:p>
    <w:p>
      <w:pPr>
        <w:pStyle w:val="Heading2"/>
      </w:pPr>
      <w:r>
        <w:t xml:space="preserve">5.2 Year 2 (September 2027 — August 2028): Practice</w:t>
      </w:r>
    </w:p>
    <w:p>
      <w:pPr>
        <w:spacing w:after="140"/>
      </w:pPr>
      <w:r>
        <w:t xml:space="preserve">Year 2 is about deepening practice, not scaling. We want to do better what we are already doing — not necessarily more of it.</w:t>
      </w:r>
    </w:p>
    <w:p>
      <w:pPr>
        <w:pStyle w:val="ListParagraph"/>
        <w:numPr>
          <w:ilvl w:val="0"/>
          <w:numId w:val="3"/>
        </w:numPr>
        <w:spacing w:after="80"/>
      </w:pPr>
      <w:r>
        <w:rPr>
          <w:b/>
          <w:bCs/>
        </w:rPr>
        <w:t xml:space="preserve">Programs: </w:t>
      </w:r>
      <w:r>
        <w:t xml:space="preserve">Second Tier 1 cohort, refined based on Year 1 learning. Tier 2 program launched in Q2 2027 with co-development from a volunteer lead. 6-10 client engagements, with a more deliberate mix of services.</w:t>
      </w:r>
    </w:p>
    <w:p>
      <w:pPr>
        <w:pStyle w:val="ListParagraph"/>
        <w:numPr>
          <w:ilvl w:val="0"/>
          <w:numId w:val="3"/>
        </w:numPr>
        <w:spacing w:after="80"/>
      </w:pPr>
      <w:r>
        <w:rPr>
          <w:b/>
          <w:bCs/>
        </w:rPr>
        <w:t xml:space="preserve">Capability transfer: </w:t>
      </w:r>
      <w:r>
        <w:t xml:space="preserve">Documented engagement methodology. Templates for assessment, configuration, training. Reusable curriculum components.</w:t>
      </w:r>
    </w:p>
    <w:p>
      <w:pPr>
        <w:pStyle w:val="ListParagraph"/>
        <w:numPr>
          <w:ilvl w:val="0"/>
          <w:numId w:val="3"/>
        </w:numPr>
        <w:spacing w:after="80"/>
      </w:pPr>
      <w:r>
        <w:rPr>
          <w:b/>
          <w:bCs/>
        </w:rPr>
        <w:t xml:space="preserve">Accessibility: </w:t>
      </w:r>
      <w:r>
        <w:t xml:space="preserve">First explicit accessibility-focused engagement (paid or grant-funded). First curriculum module on accessibility. Internal accessibility self-assessment completed.</w:t>
      </w:r>
    </w:p>
    <w:p>
      <w:pPr>
        <w:pStyle w:val="ListParagraph"/>
        <w:numPr>
          <w:ilvl w:val="0"/>
          <w:numId w:val="3"/>
        </w:numPr>
        <w:spacing w:after="80"/>
      </w:pPr>
      <w:r>
        <w:rPr>
          <w:b/>
          <w:bCs/>
        </w:rPr>
        <w:t xml:space="preserve">Funding: </w:t>
      </w:r>
      <w:r>
        <w:t xml:space="preserve">$75K founder funding (smaller than Year 1, by design). First foundation grant submitted. First corporate giving relationships established. Earned revenue piloted.</w:t>
      </w:r>
    </w:p>
    <w:p>
      <w:pPr>
        <w:pStyle w:val="ListParagraph"/>
        <w:numPr>
          <w:ilvl w:val="0"/>
          <w:numId w:val="3"/>
        </w:numPr>
        <w:spacing w:after="80"/>
      </w:pPr>
      <w:r>
        <w:rPr>
          <w:b/>
          <w:bCs/>
        </w:rPr>
        <w:t xml:space="preserve">Team: </w:t>
      </w:r>
      <w:r>
        <w:t xml:space="preserve">Possibly one additional hire if program demand justifies — likely a Curriculum Lead or Client Success role. Hiring decision triggered by capacity, not ambition.</w:t>
      </w:r>
    </w:p>
    <w:p>
      <w:pPr>
        <w:pStyle w:val="Heading2"/>
      </w:pPr>
      <w:r>
        <w:t xml:space="preserve">5.3 Year 3 (September 2028 — August 2029): Diversification</w:t>
      </w:r>
    </w:p>
    <w:p>
      <w:pPr>
        <w:spacing w:after="140"/>
      </w:pPr>
      <w:r>
        <w:t xml:space="preserve">Year 3 coincides with the founder's planned business exit. This is when funding diversification becomes both possible (because we have track record) and important (because founder funding capacity may shift).</w:t>
      </w:r>
    </w:p>
    <w:p>
      <w:pPr>
        <w:pStyle w:val="ListParagraph"/>
        <w:numPr>
          <w:ilvl w:val="0"/>
          <w:numId w:val="3"/>
        </w:numPr>
        <w:spacing w:after="80"/>
      </w:pPr>
      <w:r>
        <w:rPr>
          <w:b/>
          <w:bCs/>
        </w:rPr>
        <w:t xml:space="preserve">Programs: </w:t>
      </w:r>
      <w:r>
        <w:t xml:space="preserve">Multiple cohorts running. Some specialty offerings emerging — possibly accessibility-specific, justice-impacted-specific, or veteran-specific cohorts. First curriculum licensing pilot.</w:t>
      </w:r>
    </w:p>
    <w:p>
      <w:pPr>
        <w:pStyle w:val="ListParagraph"/>
        <w:numPr>
          <w:ilvl w:val="0"/>
          <w:numId w:val="3"/>
        </w:numPr>
        <w:spacing w:after="80"/>
      </w:pPr>
      <w:r>
        <w:rPr>
          <w:b/>
          <w:bCs/>
        </w:rPr>
        <w:t xml:space="preserve">Earned revenue: </w:t>
      </w:r>
      <w:r>
        <w:t xml:space="preserve">Paid training contracts with workforce boards, partner nonprofits, or community colleges. Modest but real ($10-25K annually).</w:t>
      </w:r>
    </w:p>
    <w:p>
      <w:pPr>
        <w:pStyle w:val="ListParagraph"/>
        <w:numPr>
          <w:ilvl w:val="0"/>
          <w:numId w:val="3"/>
        </w:numPr>
        <w:spacing w:after="80"/>
      </w:pPr>
      <w:r>
        <w:rPr>
          <w:b/>
          <w:bCs/>
        </w:rPr>
        <w:t xml:space="preserve">Funding: </w:t>
      </w:r>
      <w:r>
        <w:t xml:space="preserve">Founder exit proceeds donated through DAF. First foundation grants received. First government grant submitted (likely WIOA-related). Individual donor base of 50+ active givers.</w:t>
      </w:r>
    </w:p>
    <w:p>
      <w:pPr>
        <w:pStyle w:val="ListParagraph"/>
        <w:numPr>
          <w:ilvl w:val="0"/>
          <w:numId w:val="3"/>
        </w:numPr>
        <w:spacing w:after="80"/>
      </w:pPr>
      <w:r>
        <w:rPr>
          <w:b/>
          <w:bCs/>
        </w:rPr>
        <w:t xml:space="preserve">Public profile: </w:t>
      </w:r>
      <w:r>
        <w:t xml:space="preserve">Published case studies. Speaking at relevant conferences (workforce, accessibility, AI in education). Recognized in our regional ecosystem.</w:t>
      </w:r>
    </w:p>
    <w:p>
      <w:pPr>
        <w:pStyle w:val="ListParagraph"/>
        <w:numPr>
          <w:ilvl w:val="0"/>
          <w:numId w:val="3"/>
        </w:numPr>
        <w:spacing w:after="80"/>
      </w:pPr>
      <w:r>
        <w:rPr>
          <w:b/>
          <w:bCs/>
        </w:rPr>
        <w:t xml:space="preserve">Outcomes data: </w:t>
      </w:r>
      <w:r>
        <w:t xml:space="preserve">First robust outcomes report — fellowship employment outcomes, client capability outcomes — informing future grant applications.</w:t>
      </w:r>
    </w:p>
    <w:p>
      <w:pPr>
        <w:pStyle w:val="Heading2"/>
      </w:pPr>
      <w:r>
        <w:t xml:space="preserve">5.4 Year 4 (September 2029 — August 2030): Scaling What Works</w:t>
      </w:r>
    </w:p>
    <w:p>
      <w:pPr>
        <w:spacing w:after="140"/>
      </w:pPr>
      <w:r>
        <w:t xml:space="preserve">By Year 4, we know what works and what doesn't. Year 4 is about scaling the right things — and explicitly letting go of what doesn't.</w:t>
      </w:r>
    </w:p>
    <w:p>
      <w:pPr>
        <w:pStyle w:val="ListParagraph"/>
        <w:numPr>
          <w:ilvl w:val="0"/>
          <w:numId w:val="3"/>
        </w:numPr>
        <w:spacing w:after="80"/>
      </w:pPr>
      <w:r>
        <w:rPr>
          <w:b/>
          <w:bCs/>
        </w:rPr>
        <w:t xml:space="preserve">Programs: </w:t>
      </w:r>
      <w:r>
        <w:t xml:space="preserve">Programs that have proven their value scale (more cohorts, more engagements). Programs that haven't are quietly retired.</w:t>
      </w:r>
    </w:p>
    <w:p>
      <w:pPr>
        <w:pStyle w:val="ListParagraph"/>
        <w:numPr>
          <w:ilvl w:val="0"/>
          <w:numId w:val="3"/>
        </w:numPr>
        <w:spacing w:after="80"/>
      </w:pPr>
      <w:r>
        <w:rPr>
          <w:b/>
          <w:bCs/>
        </w:rPr>
        <w:t xml:space="preserve">Geographic or modal expansion: </w:t>
      </w:r>
      <w:r>
        <w:t xml:space="preserve">Possibly opening cohorts to specific geographies, employer pipelines, or partnership configurations that work.</w:t>
      </w:r>
    </w:p>
    <w:p>
      <w:pPr>
        <w:pStyle w:val="ListParagraph"/>
        <w:numPr>
          <w:ilvl w:val="0"/>
          <w:numId w:val="3"/>
        </w:numPr>
        <w:spacing w:after="80"/>
      </w:pPr>
      <w:r>
        <w:rPr>
          <w:b/>
          <w:bCs/>
        </w:rPr>
        <w:t xml:space="preserve">Funding: </w:t>
      </w:r>
      <w:r>
        <w:t xml:space="preserve">First government workforce grants likely received. Multi-year foundation commitments. Founder funding becomes additive rather than foundational.</w:t>
      </w:r>
    </w:p>
    <w:p>
      <w:pPr>
        <w:pStyle w:val="ListParagraph"/>
        <w:numPr>
          <w:ilvl w:val="0"/>
          <w:numId w:val="3"/>
        </w:numPr>
        <w:spacing w:after="80"/>
      </w:pPr>
      <w:r>
        <w:rPr>
          <w:b/>
          <w:bCs/>
        </w:rPr>
        <w:t xml:space="preserve">Team: </w:t>
      </w:r>
      <w:r>
        <w:t xml:space="preserve">Possibly 4-6 staff total. Hiring continues to favor non-traditional candidates, including from our own alumni.</w:t>
      </w:r>
    </w:p>
    <w:p>
      <w:pPr>
        <w:pStyle w:val="ListParagraph"/>
        <w:numPr>
          <w:ilvl w:val="0"/>
          <w:numId w:val="3"/>
        </w:numPr>
        <w:spacing w:after="80"/>
      </w:pPr>
      <w:r>
        <w:rPr>
          <w:b/>
          <w:bCs/>
        </w:rPr>
        <w:t xml:space="preserve">Public charity status: </w:t>
      </w:r>
      <w:r>
        <w:t xml:space="preserve">Public support test ratio likely above 33% on the rolling 5-year measure under DAF strategy. Verification through Form 990 Schedule A.</w:t>
      </w:r>
    </w:p>
    <w:p>
      <w:pPr>
        <w:pStyle w:val="Heading2"/>
      </w:pPr>
      <w:r>
        <w:t xml:space="preserve">5.5 Year 5 (September 2030 — August 2031): Sustainability</w:t>
      </w:r>
    </w:p>
    <w:p>
      <w:pPr>
        <w:spacing w:after="140"/>
      </w:pPr>
      <w:r>
        <w:t xml:space="preserve">By Year 5, the test is whether handlekraft can continue without depending on the founder.</w:t>
      </w:r>
    </w:p>
    <w:p>
      <w:pPr>
        <w:pStyle w:val="ListParagraph"/>
        <w:numPr>
          <w:ilvl w:val="0"/>
          <w:numId w:val="3"/>
        </w:numPr>
        <w:spacing w:after="80"/>
      </w:pPr>
      <w:r>
        <w:rPr>
          <w:b/>
          <w:bCs/>
        </w:rPr>
        <w:t xml:space="preserve">Funding sustainability: </w:t>
      </w:r>
      <w:r>
        <w:t xml:space="preserve">Diversified revenue base of $400K+ from non-founder sources. Multi-year grants in place. Earned revenue significant enough to be a meaningful line item.</w:t>
      </w:r>
    </w:p>
    <w:p>
      <w:pPr>
        <w:pStyle w:val="ListParagraph"/>
        <w:numPr>
          <w:ilvl w:val="0"/>
          <w:numId w:val="3"/>
        </w:numPr>
        <w:spacing w:after="80"/>
      </w:pPr>
      <w:r>
        <w:rPr>
          <w:b/>
          <w:bCs/>
        </w:rPr>
        <w:t xml:space="preserve">Programmatic sustainability: </w:t>
      </w:r>
      <w:r>
        <w:t xml:space="preserve">Fellowship alumni returning as mentors. Curriculum that has evolved through real practice. Methodology documented well enough to onboard new staff without losing institutional knowledge.</w:t>
      </w:r>
    </w:p>
    <w:p>
      <w:pPr>
        <w:pStyle w:val="ListParagraph"/>
        <w:numPr>
          <w:ilvl w:val="0"/>
          <w:numId w:val="3"/>
        </w:numPr>
        <w:spacing w:after="80"/>
      </w:pPr>
      <w:r>
        <w:rPr>
          <w:b/>
          <w:bCs/>
        </w:rPr>
        <w:t xml:space="preserve">Cultural sustainability: </w:t>
      </w:r>
      <w:r>
        <w:t xml:space="preserve">Self-management still working. 30-hour weeks still real. Accessibility still woven into everything.</w:t>
      </w:r>
    </w:p>
    <w:p>
      <w:pPr>
        <w:pStyle w:val="ListParagraph"/>
        <w:numPr>
          <w:ilvl w:val="0"/>
          <w:numId w:val="3"/>
        </w:numPr>
        <w:spacing w:after="80"/>
      </w:pPr>
      <w:r>
        <w:rPr>
          <w:b/>
          <w:bCs/>
        </w:rPr>
        <w:t xml:space="preserve">Direction-setting: </w:t>
      </w:r>
      <w:r>
        <w:t xml:space="preserve">Year 6+ direction set by current board and staff based on what they have learned, not by the founder's original vision. The plan you are reading is no longer the operative document. Something better has taken its place.</w:t>
      </w:r>
    </w:p>
    <w:p>
      <w:pPr>
        <w:pBdr>
          <w:left w:val="single" w:color="1F4E78" w:sz="18" w:space="8"/>
        </w:pBdr>
        <w:shd w:fill="DDEBF7" w:val="clear"/>
        <w:spacing w:after="120" w:before="120"/>
      </w:pPr>
      <w:r>
        <w:rPr>
          <w:i/>
          <w:iCs/>
        </w:rPr>
        <w:t xml:space="preserve">If by Year 5 we are still operating from the strategic plan written in Year 1, we have not been listening well enough.</w:t>
      </w:r>
    </w:p>
    <w:p>
      <w:pPr>
        <w:pStyle w:val="Heading1"/>
        <w:pageBreakBefore/>
      </w:pPr>
      <w:r>
        <w:t xml:space="preserve">Part 6 — Governance and Board Role</w:t>
      </w:r>
    </w:p>
    <w:p>
      <w:pPr>
        <w:pStyle w:val="Heading2"/>
      </w:pPr>
      <w:r>
        <w:t xml:space="preserve">6.1 The Board's Job</w:t>
      </w:r>
    </w:p>
    <w:p>
      <w:pPr>
        <w:spacing w:after="140"/>
      </w:pPr>
      <w:r>
        <w:t xml:space="preserve">The Board sets direction, ensures fiduciary integrity, and supports the Executive Director. The Board does not manage the organization. In a teal-influenced organization, the Board's role is particularly important and particularly bounded:</w:t>
      </w:r>
    </w:p>
    <w:p>
      <w:pPr>
        <w:pStyle w:val="ListParagraph"/>
        <w:numPr>
          <w:ilvl w:val="0"/>
          <w:numId w:val="3"/>
        </w:numPr>
        <w:spacing w:after="80"/>
      </w:pPr>
      <w:r>
        <w:rPr>
          <w:b/>
          <w:bCs/>
        </w:rPr>
        <w:t xml:space="preserve">Direction: </w:t>
      </w:r>
      <w:r>
        <w:t xml:space="preserve">Approves the strategic plan and revisits it annually. Approves the annual budget. Sets policy.</w:t>
      </w:r>
    </w:p>
    <w:p>
      <w:pPr>
        <w:pStyle w:val="ListParagraph"/>
        <w:numPr>
          <w:ilvl w:val="0"/>
          <w:numId w:val="3"/>
        </w:numPr>
        <w:spacing w:after="80"/>
      </w:pPr>
      <w:r>
        <w:rPr>
          <w:b/>
          <w:bCs/>
        </w:rPr>
        <w:t xml:space="preserve">Fiduciary: </w:t>
      </w:r>
      <w:r>
        <w:t xml:space="preserve">Oversees finances. Approves disqualified-person compensation. Ensures compliance with §501(c)(3) requirements. Monitors the public support test ratio.</w:t>
      </w:r>
    </w:p>
    <w:p>
      <w:pPr>
        <w:pStyle w:val="ListParagraph"/>
        <w:numPr>
          <w:ilvl w:val="0"/>
          <w:numId w:val="3"/>
        </w:numPr>
        <w:spacing w:after="80"/>
      </w:pPr>
      <w:r>
        <w:rPr>
          <w:b/>
          <w:bCs/>
        </w:rPr>
        <w:t xml:space="preserve">Support: </w:t>
      </w:r>
      <w:r>
        <w:t xml:space="preserve">Coaches the Executive Director. Helps with fundraising introductions. Brings expertise the staff doesn't have.</w:t>
      </w:r>
    </w:p>
    <w:p>
      <w:pPr>
        <w:pStyle w:val="ListParagraph"/>
        <w:numPr>
          <w:ilvl w:val="0"/>
          <w:numId w:val="3"/>
        </w:numPr>
        <w:spacing w:after="80"/>
      </w:pPr>
      <w:r>
        <w:rPr>
          <w:b/>
          <w:bCs/>
        </w:rPr>
        <w:t xml:space="preserve">Governance: </w:t>
      </w:r>
      <w:r>
        <w:t xml:space="preserve">Self-evaluates. Recruits new directors. Evaluates the Executive Director annually.</w:t>
      </w:r>
    </w:p>
    <w:p>
      <w:pPr>
        <w:spacing w:after="140"/>
      </w:pPr>
      <w:r>
        <w:t xml:space="preserve">The Board does not direct day-to-day operations. The Board does not approve individual program decisions. The Board does not pre-approve every expense. Trust in staff is the foundation; oversight is the safeguard.</w:t>
      </w:r>
    </w:p>
    <w:p>
      <w:pPr>
        <w:pStyle w:val="Heading2"/>
      </w:pPr>
      <w:r>
        <w:t xml:space="preserve">6.2 Board Composition Aspirations</w:t>
      </w:r>
    </w:p>
    <w:p>
      <w:pPr>
        <w:spacing w:after="140"/>
      </w:pPr>
      <w:r>
        <w:t xml:space="preserve">Our seven-director board will be intentionally composed to bring expertise we genuinely need and perspectives that strengthen our work:</w:t>
      </w:r>
    </w:p>
    <w:p>
      <w:pPr>
        <w:pStyle w:val="ListParagraph"/>
        <w:numPr>
          <w:ilvl w:val="0"/>
          <w:numId w:val="3"/>
        </w:numPr>
        <w:spacing w:after="80"/>
      </w:pPr>
      <w:r>
        <w:t xml:space="preserve">At least one director with nonprofit governance experience</w:t>
      </w:r>
    </w:p>
    <w:p>
      <w:pPr>
        <w:pStyle w:val="ListParagraph"/>
        <w:numPr>
          <w:ilvl w:val="0"/>
          <w:numId w:val="3"/>
        </w:numPr>
        <w:spacing w:after="80"/>
      </w:pPr>
      <w:r>
        <w:t xml:space="preserve">At least one director with workforce development or education expertise</w:t>
      </w:r>
    </w:p>
    <w:p>
      <w:pPr>
        <w:pStyle w:val="ListParagraph"/>
        <w:numPr>
          <w:ilvl w:val="0"/>
          <w:numId w:val="3"/>
        </w:numPr>
        <w:spacing w:after="80"/>
      </w:pPr>
      <w:r>
        <w:t xml:space="preserve">At least one director with finance or accounting expertise</w:t>
      </w:r>
    </w:p>
    <w:p>
      <w:pPr>
        <w:pStyle w:val="ListParagraph"/>
        <w:numPr>
          <w:ilvl w:val="0"/>
          <w:numId w:val="3"/>
        </w:numPr>
        <w:spacing w:after="80"/>
      </w:pPr>
      <w:r>
        <w:t xml:space="preserve">At least one director with technology or AI expertise</w:t>
      </w:r>
    </w:p>
    <w:p>
      <w:pPr>
        <w:pStyle w:val="ListParagraph"/>
        <w:numPr>
          <w:ilvl w:val="0"/>
          <w:numId w:val="3"/>
        </w:numPr>
        <w:spacing w:after="80"/>
      </w:pPr>
      <w:r>
        <w:t xml:space="preserve">At least one director with disability advocacy or accessibility expertise</w:t>
      </w:r>
    </w:p>
    <w:p>
      <w:pPr>
        <w:pStyle w:val="ListParagraph"/>
        <w:numPr>
          <w:ilvl w:val="0"/>
          <w:numId w:val="3"/>
        </w:numPr>
        <w:spacing w:after="80"/>
      </w:pPr>
      <w:r>
        <w:t xml:space="preserve">At least one director from communities we serve (alumni in later years)</w:t>
      </w:r>
    </w:p>
    <w:p>
      <w:pPr>
        <w:pStyle w:val="ListParagraph"/>
        <w:numPr>
          <w:ilvl w:val="0"/>
          <w:numId w:val="3"/>
        </w:numPr>
        <w:spacing w:after="80"/>
      </w:pPr>
      <w:r>
        <w:t xml:space="preserve">At least one director with fundraising experience</w:t>
      </w:r>
    </w:p>
    <w:p>
      <w:pPr>
        <w:spacing w:after="140"/>
      </w:pPr>
      <w:r>
        <w:t xml:space="preserve">These categories will overlap; not all are mutually exclusive. A director with deep accessibility expertise who is also an alumnus serves multiple roles. The aspiration is intentional balance, not rigid quotas.</w:t>
      </w:r>
    </w:p>
    <w:p>
      <w:pPr>
        <w:pStyle w:val="Heading2"/>
      </w:pPr>
      <w:r>
        <w:t xml:space="preserve">6.3 Decision Cadence</w:t>
      </w:r>
    </w:p>
    <w:p>
      <w:pPr>
        <w:spacing w:after="140"/>
      </w:pPr>
      <w:r>
        <w:t xml:space="preserve">The Board meets four times per year (quarterly). Between meetings, the Executive Director operates with substantial authority. Major decisions outside the budget envelope come to the Board through the Executive Director.</w:t>
      </w:r>
    </w:p>
    <w:p>
      <w:pPr>
        <w:spacing w:after="140"/>
      </w:pPr>
      <w:r>
        <w:t xml:space="preserve">Annual cadence:</w:t>
      </w:r>
    </w:p>
    <w:p>
      <w:pPr>
        <w:pStyle w:val="ListParagraph"/>
        <w:numPr>
          <w:ilvl w:val="0"/>
          <w:numId w:val="3"/>
        </w:numPr>
        <w:spacing w:after="80"/>
      </w:pPr>
      <w:r>
        <w:rPr>
          <w:b/>
          <w:bCs/>
        </w:rPr>
        <w:t xml:space="preserve">Q1 (typically March): </w:t>
      </w:r>
      <w:r>
        <w:t xml:space="preserve">Annual budget approval. Compensation review. Audit/financial review. Year-ahead direction.</w:t>
      </w:r>
    </w:p>
    <w:p>
      <w:pPr>
        <w:pStyle w:val="ListParagraph"/>
        <w:numPr>
          <w:ilvl w:val="0"/>
          <w:numId w:val="3"/>
        </w:numPr>
        <w:spacing w:after="80"/>
      </w:pPr>
      <w:r>
        <w:rPr>
          <w:b/>
          <w:bCs/>
        </w:rPr>
        <w:t xml:space="preserve">Q2 (typically June): </w:t>
      </w:r>
      <w:r>
        <w:t xml:space="preserve">Mid-year operational review. Strategy refresh discussion. Board self-evaluation.</w:t>
      </w:r>
    </w:p>
    <w:p>
      <w:pPr>
        <w:pStyle w:val="ListParagraph"/>
        <w:numPr>
          <w:ilvl w:val="0"/>
          <w:numId w:val="3"/>
        </w:numPr>
        <w:spacing w:after="80"/>
      </w:pPr>
      <w:r>
        <w:rPr>
          <w:b/>
          <w:bCs/>
        </w:rPr>
        <w:t xml:space="preserve">Q3 (typically September): </w:t>
      </w:r>
      <w:r>
        <w:t xml:space="preserve">Beginning-of-year alignment. Program plan review. Public support test check-in.</w:t>
      </w:r>
    </w:p>
    <w:p>
      <w:pPr>
        <w:pStyle w:val="ListParagraph"/>
        <w:numPr>
          <w:ilvl w:val="0"/>
          <w:numId w:val="3"/>
        </w:numPr>
        <w:spacing w:after="80"/>
      </w:pPr>
      <w:r>
        <w:rPr>
          <w:b/>
          <w:bCs/>
        </w:rPr>
        <w:t xml:space="preserve">Q4 (typically December): </w:t>
      </w:r>
      <w:r>
        <w:t xml:space="preserve">Year-end financial review. Annual report content. Board recruitment as needed.</w:t>
      </w:r>
    </w:p>
    <w:p>
      <w:pPr>
        <w:pStyle w:val="Heading2"/>
      </w:pPr>
      <w:r>
        <w:t xml:space="preserve">6.4 The Founder/Family Question</w:t>
      </w:r>
    </w:p>
    <w:p>
      <w:pPr>
        <w:spacing w:after="140"/>
      </w:pPr>
      <w:r>
        <w:t xml:space="preserve">The Board structure deliberately includes a majority of independent directors who can supervise the founder/family employment dynamic. This is not because we expect problems — it is because good governance pre-empts problems.</w:t>
      </w:r>
    </w:p>
    <w:p>
      <w:pPr>
        <w:spacing w:after="140"/>
      </w:pPr>
      <w:r>
        <w:t xml:space="preserve">Specific protections in place:</w:t>
      </w:r>
    </w:p>
    <w:p>
      <w:pPr>
        <w:pStyle w:val="ListParagraph"/>
        <w:numPr>
          <w:ilvl w:val="0"/>
          <w:numId w:val="2"/>
        </w:numPr>
        <w:spacing w:after="80"/>
      </w:pPr>
      <w:r>
        <w:t xml:space="preserve">Compensation Committee composed exclusively of independent directors approves all compensation paid to the founder's son and any future family employees, using the IRS rebuttable presumption procedures.</w:t>
      </w:r>
    </w:p>
    <w:p>
      <w:pPr>
        <w:pStyle w:val="ListParagraph"/>
        <w:numPr>
          <w:ilvl w:val="0"/>
          <w:numId w:val="2"/>
        </w:numPr>
        <w:spacing w:after="80"/>
      </w:pPr>
      <w:r>
        <w:t xml:space="preserve">The founder, as Executive Director, recuses from any Board discussion involving family employment, family compensation, or related-party transactions.</w:t>
      </w:r>
    </w:p>
    <w:p>
      <w:pPr>
        <w:pStyle w:val="ListParagraph"/>
        <w:numPr>
          <w:ilvl w:val="0"/>
          <w:numId w:val="2"/>
        </w:numPr>
        <w:spacing w:after="80"/>
      </w:pPr>
      <w:r>
        <w:t xml:space="preserve">Independent annual audit or review evaluates whether compensation, transactions, and operations conform to the policies.</w:t>
      </w:r>
    </w:p>
    <w:p>
      <w:pPr>
        <w:pStyle w:val="ListParagraph"/>
        <w:numPr>
          <w:ilvl w:val="0"/>
          <w:numId w:val="2"/>
        </w:numPr>
        <w:spacing w:after="80"/>
      </w:pPr>
      <w:r>
        <w:t xml:space="preserve">Whistleblower policy provides a channel for staff to raise concerns directly to the Board Chair without going through the Executive Director.</w:t>
      </w:r>
    </w:p>
    <w:p>
      <w:pPr>
        <w:spacing w:after="140"/>
      </w:pPr>
      <w:r>
        <w:t xml:space="preserve">These are not adversarial structures. They are how we make sure the family dimension of this organization remains a strength rather than becoming a vulnerability.</w:t>
      </w:r>
    </w:p>
    <w:p>
      <w:pPr>
        <w:pStyle w:val="Heading1"/>
        <w:pageBreakBefore/>
      </w:pPr>
      <w:r>
        <w:t xml:space="preserve">Part 7 — Risks and How We Address Them</w:t>
      </w:r>
    </w:p>
    <w:p>
      <w:pPr>
        <w:spacing w:after="140"/>
      </w:pPr>
      <w:r>
        <w:t xml:space="preserve">This plan acknowledges several risks with clear-eyed honesty. Each is real. Each has corresponding mitigations baked into how we operate.</w:t>
      </w:r>
    </w:p>
    <w:p>
      <w:pPr>
        <w:pStyle w:val="Heading2"/>
      </w:pPr>
      <w:r>
        <w:t xml:space="preserve">7.1 Founder Funding Concentration Risk</w:t>
      </w:r>
    </w:p>
    <w:p>
      <w:pPr>
        <w:spacing w:after="140"/>
      </w:pPr>
      <w:r>
        <w:rPr>
          <w:b/>
          <w:bCs/>
        </w:rPr>
        <w:t xml:space="preserve">Risk: </w:t>
      </w:r>
      <w:r>
        <w:t xml:space="preserve">The organization is heavily dependent on a single donor (the founder) in early years. If founder circumstances change, the organization could face existential funding pressure.</w:t>
      </w:r>
    </w:p>
    <w:p>
      <w:pPr>
        <w:spacing w:after="140"/>
      </w:pPr>
      <w:r>
        <w:rPr>
          <w:b/>
          <w:bCs/>
        </w:rPr>
        <w:t xml:space="preserve">Mitigation: </w:t>
      </w:r>
      <w:r>
        <w:t xml:space="preserve">Donor Advised Fund strategy preserves public charity classification. Year 2-3 fundraising diversification is intentional and tracked. Lean operating model means we can right-size if necessary. Founder commitment in writing through gift agreements gives clarity. The strategic plan explicitly contemplates downside scenarios.</w:t>
      </w:r>
    </w:p>
    <w:p>
      <w:pPr>
        <w:pStyle w:val="Heading2"/>
      </w:pPr>
      <w:r>
        <w:t xml:space="preserve">7.2 Founder/Family Governance Risk</w:t>
      </w:r>
    </w:p>
    <w:p>
      <w:pPr>
        <w:spacing w:after="140"/>
      </w:pPr>
      <w:r>
        <w:rPr>
          <w:b/>
          <w:bCs/>
        </w:rPr>
        <w:t xml:space="preserve">Risk: </w:t>
      </w:r>
      <w:r>
        <w:t xml:space="preserve">Founder/family employment relationships could become a vulnerability — to IRS scrutiny, to donor trust, to internal team dynamics, or to mission drift.</w:t>
      </w:r>
    </w:p>
    <w:p>
      <w:pPr>
        <w:spacing w:after="140"/>
      </w:pPr>
      <w:r>
        <w:rPr>
          <w:b/>
          <w:bCs/>
        </w:rPr>
        <w:t xml:space="preserve">Mitigation: </w:t>
      </w:r>
      <w:r>
        <w:t xml:space="preserve">Independent-majority board. Compensation Committee composed of independent directors. Rebuttable presumption procedures followed and documented. Clear conflict of interest policy. Annual review. Founder explicitly recuses from related decisions.</w:t>
      </w:r>
    </w:p>
    <w:p>
      <w:pPr>
        <w:pStyle w:val="Heading2"/>
      </w:pPr>
      <w:r>
        <w:t xml:space="preserve">7.3 Mission Drift Risk</w:t>
      </w:r>
    </w:p>
    <w:p>
      <w:pPr>
        <w:spacing w:after="140"/>
      </w:pPr>
      <w:r>
        <w:rPr>
          <w:b/>
          <w:bCs/>
        </w:rPr>
        <w:t xml:space="preserve">Risk: </w:t>
      </w:r>
      <w:r>
        <w:t xml:space="preserve">As we grow and pursue diversified funding, we could drift toward what funders want rather than what our communities need — or toward custom software builds because they are higher-revenue, away from training and services.</w:t>
      </w:r>
    </w:p>
    <w:p>
      <w:pPr>
        <w:spacing w:after="140"/>
      </w:pPr>
      <w:r>
        <w:rPr>
          <w:b/>
          <w:bCs/>
        </w:rPr>
        <w:t xml:space="preserve">Mitigation: </w:t>
      </w:r>
      <w:r>
        <w:t xml:space="preserve">Annual strategic plan review against principles. Stakeholder voice formalized — clients and fellows give feedback that informs direction. Board includes community representation in later years. We say no to engagements that don't align, even when they would pay well.</w:t>
      </w:r>
    </w:p>
    <w:p>
      <w:pPr>
        <w:pStyle w:val="Heading2"/>
      </w:pPr>
      <w:r>
        <w:t xml:space="preserve">7.4 Quality-Versus-Scale Risk</w:t>
      </w:r>
    </w:p>
    <w:p>
      <w:pPr>
        <w:spacing w:after="140"/>
      </w:pPr>
      <w:r>
        <w:rPr>
          <w:b/>
          <w:bCs/>
        </w:rPr>
        <w:t xml:space="preserve">Risk: </w:t>
      </w:r>
      <w:r>
        <w:t xml:space="preserve">Pressure to scale (from funders, from board, from market visibility) leads us to grow faster than our capacity to mentor well, with quality declining.</w:t>
      </w:r>
    </w:p>
    <w:p>
      <w:pPr>
        <w:spacing w:after="140"/>
      </w:pPr>
      <w:r>
        <w:rPr>
          <w:b/>
          <w:bCs/>
        </w:rPr>
        <w:t xml:space="preserve">Mitigation: </w:t>
      </w:r>
      <w:r>
        <w:t xml:space="preserve">Cohort sizes set by mentor capacity, not by demand. Hiring decisions made carefully and infrequently. Scaling celebrated only when it is sustainable. Board supports the discipline of saying no.</w:t>
      </w:r>
    </w:p>
    <w:p>
      <w:pPr>
        <w:pStyle w:val="Heading2"/>
      </w:pPr>
      <w:r>
        <w:t xml:space="preserve">7.5 Self-Management Failure Risk</w:t>
      </w:r>
    </w:p>
    <w:p>
      <w:pPr>
        <w:spacing w:after="140"/>
      </w:pPr>
      <w:r>
        <w:rPr>
          <w:b/>
          <w:bCs/>
        </w:rPr>
        <w:t xml:space="preserve">Risk: </w:t>
      </w:r>
      <w:r>
        <w:t xml:space="preserve">Self-management practices fail under stress, defaulting to ad-hoc hierarchy, family dynamics, or executive director overload.</w:t>
      </w:r>
    </w:p>
    <w:p>
      <w:pPr>
        <w:spacing w:after="140"/>
      </w:pPr>
      <w:r>
        <w:rPr>
          <w:b/>
          <w:bCs/>
        </w:rPr>
        <w:t xml:space="preserve">Mitigation: </w:t>
      </w:r>
      <w:r>
        <w:t xml:space="preserve">Decision rights are documented. Conflict resolution practices (NVC, mediated conversations) are in place. Annual culture review with full team. Board pays attention to organizational health, not just financial health. We name struggles early.</w:t>
      </w:r>
    </w:p>
    <w:p>
      <w:pPr>
        <w:pStyle w:val="Heading2"/>
      </w:pPr>
      <w:r>
        <w:t xml:space="preserve">7.6 Liability Risk From Custom Software Work</w:t>
      </w:r>
    </w:p>
    <w:p>
      <w:pPr>
        <w:spacing w:after="140"/>
      </w:pPr>
      <w:r>
        <w:rPr>
          <w:b/>
          <w:bCs/>
        </w:rPr>
        <w:t xml:space="preserve">Risk: </w:t>
      </w:r>
      <w:r>
        <w:t xml:space="preserve">Custom software builds, even small ones, create liability for negligent service delivery, IP issues, and end-user harm — particularly with AI-generated code in the mix.</w:t>
      </w:r>
    </w:p>
    <w:p>
      <w:pPr>
        <w:spacing w:after="140"/>
      </w:pPr>
      <w:r>
        <w:rPr>
          <w:b/>
          <w:bCs/>
        </w:rPr>
        <w:t xml:space="preserve">Mitigation: </w:t>
      </w:r>
      <w:r>
        <w:t xml:space="preserve">Service agreement template drafted by counsel, used with every engagement. Clear contractual ownership transfer to clients. No PII or PHI handling without explicit risk review. Documentation discipline (code reviews, dependency audits). Insurance coverage in place — General Liability, D&amp;O, Professional Liability/E&amp;O, and Cyber. Scope discipline — we say no to work that drifts into higher-risk territory.</w:t>
      </w:r>
    </w:p>
    <w:p>
      <w:pPr>
        <w:pStyle w:val="Heading2"/>
      </w:pPr>
      <w:r>
        <w:t xml:space="preserve">7.7 Burnout Risk</w:t>
      </w:r>
    </w:p>
    <w:p>
      <w:pPr>
        <w:spacing w:after="140"/>
      </w:pPr>
      <w:r>
        <w:rPr>
          <w:b/>
          <w:bCs/>
        </w:rPr>
        <w:t xml:space="preserve">Risk: </w:t>
      </w:r>
      <w:r>
        <w:t xml:space="preserve">Despite our 30-hour-week commitment, the work expands and people quietly absorb hours, leading to burnout and turnover.</w:t>
      </w:r>
    </w:p>
    <w:p>
      <w:pPr>
        <w:spacing w:after="140"/>
      </w:pPr>
      <w:r>
        <w:rPr>
          <w:b/>
          <w:bCs/>
        </w:rPr>
        <w:t xml:space="preserve">Mitigation: </w:t>
      </w:r>
      <w:r>
        <w:t xml:space="preserve">30-hour commitment treated as design constraint, not aspiration. Scope adjusted when work expands. Regular check-ins surface drift. Time off is mandatory floor, not optional. We measure ourselves on this and report it to the Board.</w:t>
      </w:r>
    </w:p>
    <w:p>
      <w:pPr>
        <w:pStyle w:val="Heading1"/>
        <w:pageBreakBefore/>
      </w:pPr>
      <w:r>
        <w:t xml:space="preserve">Part 8 — How We Measure Ourselves</w:t>
      </w:r>
    </w:p>
    <w:p>
      <w:pPr>
        <w:spacing w:after="140"/>
      </w:pPr>
      <w:r>
        <w:t xml:space="preserve">We resist the impulse to define metrics for everything. Some things matter that cannot be measured well; some things can be measured but should not be. The metrics below are intentionally limited and weighted toward outcomes rather than activity.</w:t>
      </w:r>
    </w:p>
    <w:p>
      <w:pPr>
        <w:pStyle w:val="Heading2"/>
      </w:pPr>
      <w:r>
        <w:t xml:space="preserve">8.1 Stakeholder Outcomes</w:t>
      </w:r>
    </w:p>
    <w:p>
      <w:pPr>
        <w:pStyle w:val="Heading3"/>
      </w:pPr>
      <w:r>
        <w:t xml:space="preserve">Community Organizations</w:t>
      </w:r>
    </w:p>
    <w:p>
      <w:pPr>
        <w:pStyle w:val="ListParagraph"/>
        <w:numPr>
          <w:ilvl w:val="0"/>
          <w:numId w:val="3"/>
        </w:numPr>
        <w:spacing w:after="80"/>
      </w:pPr>
      <w:r>
        <w:t xml:space="preserve">Number of organizations served (annually)</w:t>
      </w:r>
    </w:p>
    <w:p>
      <w:pPr>
        <w:pStyle w:val="ListParagraph"/>
        <w:numPr>
          <w:ilvl w:val="0"/>
          <w:numId w:val="3"/>
        </w:numPr>
        <w:spacing w:after="80"/>
      </w:pPr>
      <w:r>
        <w:t xml:space="preserve">Percentage of clients still using systems we helped configure 6 months later</w:t>
      </w:r>
    </w:p>
    <w:p>
      <w:pPr>
        <w:pStyle w:val="ListParagraph"/>
        <w:numPr>
          <w:ilvl w:val="0"/>
          <w:numId w:val="3"/>
        </w:numPr>
        <w:spacing w:after="80"/>
      </w:pPr>
      <w:r>
        <w:t xml:space="preserve">Self-reported capability change (pre- and post-engagement survey)</w:t>
      </w:r>
    </w:p>
    <w:p>
      <w:pPr>
        <w:pStyle w:val="ListParagraph"/>
        <w:numPr>
          <w:ilvl w:val="0"/>
          <w:numId w:val="3"/>
        </w:numPr>
        <w:spacing w:after="80"/>
      </w:pPr>
      <w:r>
        <w:t xml:space="preserve">Net Promoter Score / referral rate</w:t>
      </w:r>
    </w:p>
    <w:p>
      <w:pPr>
        <w:pStyle w:val="Heading3"/>
      </w:pPr>
      <w:r>
        <w:t xml:space="preserve">Fellows</w:t>
      </w:r>
    </w:p>
    <w:p>
      <w:pPr>
        <w:pStyle w:val="ListParagraph"/>
        <w:numPr>
          <w:ilvl w:val="0"/>
          <w:numId w:val="3"/>
        </w:numPr>
        <w:spacing w:after="80"/>
      </w:pPr>
      <w:r>
        <w:t xml:space="preserve">Cohort completion rate</w:t>
      </w:r>
    </w:p>
    <w:p>
      <w:pPr>
        <w:pStyle w:val="ListParagraph"/>
        <w:numPr>
          <w:ilvl w:val="0"/>
          <w:numId w:val="3"/>
        </w:numPr>
        <w:spacing w:after="80"/>
      </w:pPr>
      <w:r>
        <w:t xml:space="preserve">Employment outcomes 6 and 12 months post-graduation</w:t>
      </w:r>
    </w:p>
    <w:p>
      <w:pPr>
        <w:pStyle w:val="ListParagraph"/>
        <w:numPr>
          <w:ilvl w:val="0"/>
          <w:numId w:val="3"/>
        </w:numPr>
        <w:spacing w:after="80"/>
      </w:pPr>
      <w:r>
        <w:t xml:space="preserve">Wage progression for those entering technology employment</w:t>
      </w:r>
    </w:p>
    <w:p>
      <w:pPr>
        <w:pStyle w:val="ListParagraph"/>
        <w:numPr>
          <w:ilvl w:val="0"/>
          <w:numId w:val="3"/>
        </w:numPr>
        <w:spacing w:after="80"/>
      </w:pPr>
      <w:r>
        <w:t xml:space="preserve">Alumni engagement (return rate as mentors, peer support)</w:t>
      </w:r>
    </w:p>
    <w:p>
      <w:pPr>
        <w:pStyle w:val="ListParagraph"/>
        <w:numPr>
          <w:ilvl w:val="0"/>
          <w:numId w:val="3"/>
        </w:numPr>
        <w:spacing w:after="80"/>
      </w:pPr>
      <w:r>
        <w:t xml:space="preserve">Self-reported confidence and capability change</w:t>
      </w:r>
    </w:p>
    <w:p>
      <w:pPr>
        <w:pStyle w:val="Heading3"/>
      </w:pPr>
      <w:r>
        <w:t xml:space="preserve">End Users</w:t>
      </w:r>
    </w:p>
    <w:p>
      <w:pPr>
        <w:pStyle w:val="ListParagraph"/>
        <w:numPr>
          <w:ilvl w:val="0"/>
          <w:numId w:val="3"/>
        </w:numPr>
        <w:spacing w:after="80"/>
      </w:pPr>
      <w:r>
        <w:t xml:space="preserve">Number of accessibility audits delivered</w:t>
      </w:r>
    </w:p>
    <w:p>
      <w:pPr>
        <w:pStyle w:val="ListParagraph"/>
        <w:numPr>
          <w:ilvl w:val="0"/>
          <w:numId w:val="3"/>
        </w:numPr>
        <w:spacing w:after="80"/>
      </w:pPr>
      <w:r>
        <w:t xml:space="preserve">WCAG compliance levels of systems we configured</w:t>
      </w:r>
    </w:p>
    <w:p>
      <w:pPr>
        <w:pStyle w:val="ListParagraph"/>
        <w:numPr>
          <w:ilvl w:val="0"/>
          <w:numId w:val="3"/>
        </w:numPr>
        <w:spacing w:after="80"/>
      </w:pPr>
      <w:r>
        <w:t xml:space="preserve">Reduction in form abandonment / support tickets where measurable</w:t>
      </w:r>
    </w:p>
    <w:p>
      <w:pPr>
        <w:pStyle w:val="Heading2"/>
      </w:pPr>
      <w:r>
        <w:t xml:space="preserve">8.2 Organizational Health</w:t>
      </w:r>
    </w:p>
    <w:p>
      <w:pPr>
        <w:pStyle w:val="ListParagraph"/>
        <w:numPr>
          <w:ilvl w:val="0"/>
          <w:numId w:val="3"/>
        </w:numPr>
        <w:spacing w:after="80"/>
      </w:pPr>
      <w:r>
        <w:t xml:space="preserve">Average hours worked per week (target: 30, with discipline against creep)</w:t>
      </w:r>
    </w:p>
    <w:p>
      <w:pPr>
        <w:pStyle w:val="ListParagraph"/>
        <w:numPr>
          <w:ilvl w:val="0"/>
          <w:numId w:val="3"/>
        </w:numPr>
        <w:spacing w:after="80"/>
      </w:pPr>
      <w:r>
        <w:t xml:space="preserve">Time-off taken (target: at least three weeks per year per person)</w:t>
      </w:r>
    </w:p>
    <w:p>
      <w:pPr>
        <w:pStyle w:val="ListParagraph"/>
        <w:numPr>
          <w:ilvl w:val="0"/>
          <w:numId w:val="3"/>
        </w:numPr>
        <w:spacing w:after="80"/>
      </w:pPr>
      <w:r>
        <w:t xml:space="preserve">Staff retention</w:t>
      </w:r>
    </w:p>
    <w:p>
      <w:pPr>
        <w:pStyle w:val="ListParagraph"/>
        <w:numPr>
          <w:ilvl w:val="0"/>
          <w:numId w:val="3"/>
        </w:numPr>
        <w:spacing w:after="80"/>
      </w:pPr>
      <w:r>
        <w:t xml:space="preserve">Annual culture self-assessment scores</w:t>
      </w:r>
    </w:p>
    <w:p>
      <w:pPr>
        <w:pStyle w:val="ListParagraph"/>
        <w:numPr>
          <w:ilvl w:val="0"/>
          <w:numId w:val="3"/>
        </w:numPr>
        <w:spacing w:after="80"/>
      </w:pPr>
      <w:r>
        <w:t xml:space="preserve">Board engagement (attendance, contribution, self-evaluation)</w:t>
      </w:r>
    </w:p>
    <w:p>
      <w:pPr>
        <w:pStyle w:val="Heading2"/>
      </w:pPr>
      <w:r>
        <w:t xml:space="preserve">8.3 Financial Sustainability</w:t>
      </w:r>
    </w:p>
    <w:p>
      <w:pPr>
        <w:pStyle w:val="ListParagraph"/>
        <w:numPr>
          <w:ilvl w:val="0"/>
          <w:numId w:val="3"/>
        </w:numPr>
        <w:spacing w:after="80"/>
      </w:pPr>
      <w:r>
        <w:t xml:space="preserve">Total revenue and revenue diversity ratio</w:t>
      </w:r>
    </w:p>
    <w:p>
      <w:pPr>
        <w:pStyle w:val="ListParagraph"/>
        <w:numPr>
          <w:ilvl w:val="0"/>
          <w:numId w:val="3"/>
        </w:numPr>
        <w:spacing w:after="80"/>
      </w:pPr>
      <w:r>
        <w:t xml:space="preserve">Public support test ratio (rolling 5-year)</w:t>
      </w:r>
    </w:p>
    <w:p>
      <w:pPr>
        <w:pStyle w:val="ListParagraph"/>
        <w:numPr>
          <w:ilvl w:val="0"/>
          <w:numId w:val="3"/>
        </w:numPr>
        <w:spacing w:after="80"/>
      </w:pPr>
      <w:r>
        <w:t xml:space="preserve">Operating reserve (target: 3 months by Year 3, 6 months by Year 5)</w:t>
      </w:r>
    </w:p>
    <w:p>
      <w:pPr>
        <w:pStyle w:val="ListParagraph"/>
        <w:numPr>
          <w:ilvl w:val="0"/>
          <w:numId w:val="3"/>
        </w:numPr>
        <w:spacing w:after="80"/>
      </w:pPr>
      <w:r>
        <w:t xml:space="preserve">Cost per fellow served, cost per client engagement</w:t>
      </w:r>
    </w:p>
    <w:p>
      <w:pPr>
        <w:pStyle w:val="ListParagraph"/>
        <w:numPr>
          <w:ilvl w:val="0"/>
          <w:numId w:val="3"/>
        </w:numPr>
        <w:spacing w:after="80"/>
      </w:pPr>
      <w:r>
        <w:t xml:space="preserve">Fundraising efficiency</w:t>
      </w:r>
    </w:p>
    <w:p>
      <w:pPr>
        <w:pStyle w:val="Heading2"/>
      </w:pPr>
      <w:r>
        <w:t xml:space="preserve">8.4 What We Do Not Measure</w:t>
      </w:r>
    </w:p>
    <w:p>
      <w:pPr>
        <w:spacing w:after="140"/>
      </w:pPr>
      <w:r>
        <w:t xml:space="preserve">We deliberately do not pursue these as metrics:</w:t>
      </w:r>
    </w:p>
    <w:p>
      <w:pPr>
        <w:pStyle w:val="ListParagraph"/>
        <w:numPr>
          <w:ilvl w:val="0"/>
          <w:numId w:val="3"/>
        </w:numPr>
        <w:spacing w:after="80"/>
      </w:pPr>
      <w:r>
        <w:t xml:space="preserve">Hours worked beyond what's needed for fair compensation</w:t>
      </w:r>
    </w:p>
    <w:p>
      <w:pPr>
        <w:pStyle w:val="ListParagraph"/>
        <w:numPr>
          <w:ilvl w:val="0"/>
          <w:numId w:val="3"/>
        </w:numPr>
        <w:spacing w:after="80"/>
      </w:pPr>
      <w:r>
        <w:t xml:space="preserve">Social media follower count or engagement rate as a primary measure (we use them, but they don't drive decisions)</w:t>
      </w:r>
    </w:p>
    <w:p>
      <w:pPr>
        <w:pStyle w:val="ListParagraph"/>
        <w:numPr>
          <w:ilvl w:val="0"/>
          <w:numId w:val="3"/>
        </w:numPr>
        <w:spacing w:after="80"/>
      </w:pPr>
      <w:r>
        <w:t xml:space="preserve">Cohort size as an end in itself</w:t>
      </w:r>
    </w:p>
    <w:p>
      <w:pPr>
        <w:pStyle w:val="ListParagraph"/>
        <w:numPr>
          <w:ilvl w:val="0"/>
          <w:numId w:val="3"/>
        </w:numPr>
        <w:spacing w:after="80"/>
      </w:pPr>
      <w:r>
        <w:t xml:space="preserve">Number of custom software products built</w:t>
      </w:r>
    </w:p>
    <w:p>
      <w:pPr>
        <w:pStyle w:val="ListParagraph"/>
        <w:numPr>
          <w:ilvl w:val="0"/>
          <w:numId w:val="3"/>
        </w:numPr>
        <w:spacing w:after="80"/>
      </w:pPr>
      <w:r>
        <w:t xml:space="preserve">Brand recognition surveys</w:t>
      </w:r>
    </w:p>
    <w:p>
      <w:pPr>
        <w:spacing w:after="140"/>
      </w:pPr>
      <w:r>
        <w:t xml:space="preserve">These metrics tend to crowd out things that matter more. We watch them peripherally, but they do not steer.</w:t>
      </w:r>
    </w:p>
    <w:p>
      <w:pPr>
        <w:pStyle w:val="Heading1"/>
        <w:pageBreakBefore/>
      </w:pPr>
      <w:r>
        <w:t xml:space="preserve">Closing — A Living Document</w:t>
      </w:r>
    </w:p>
    <w:p>
      <w:pPr>
        <w:spacing w:after="140"/>
      </w:pPr>
      <w:r>
        <w:t xml:space="preserve">This plan is meant to be useful — to the board reading it now, to the staff who will work from it, to the funders and partners who will be asked to trust it. It is also meant to be revisable. Reality will surprise us. We will surprise ourselves. The next version of this plan, written at the end of Year 1 by people who have actually done the work, will be better than this one. That is as it should be.</w:t>
      </w:r>
    </w:p>
    <w:p>
      <w:pPr>
        <w:spacing w:after="140"/>
      </w:pPr>
      <w:r>
        <w:t xml:space="preserve">What we commit to is not the specific sentences above. We commit to:</w:t>
      </w:r>
    </w:p>
    <w:p>
      <w:pPr>
        <w:pStyle w:val="ListParagraph"/>
        <w:numPr>
          <w:ilvl w:val="0"/>
          <w:numId w:val="2"/>
        </w:numPr>
        <w:spacing w:after="80"/>
      </w:pPr>
      <w:r>
        <w:t xml:space="preserve">Multiplying the power to act for organizations, learners, and end users.</w:t>
      </w:r>
    </w:p>
    <w:p>
      <w:pPr>
        <w:pStyle w:val="ListParagraph"/>
        <w:numPr>
          <w:ilvl w:val="0"/>
          <w:numId w:val="2"/>
        </w:numPr>
        <w:spacing w:after="80"/>
      </w:pPr>
      <w:r>
        <w:t xml:space="preserve">Working in ways that respect the wholeness of the people doing the work.</w:t>
      </w:r>
    </w:p>
    <w:p>
      <w:pPr>
        <w:pStyle w:val="ListParagraph"/>
        <w:numPr>
          <w:ilvl w:val="0"/>
          <w:numId w:val="2"/>
        </w:numPr>
        <w:spacing w:after="80"/>
      </w:pPr>
      <w:r>
        <w:t xml:space="preserve">Designing for accessibility as a default, not an afterthought.</w:t>
      </w:r>
    </w:p>
    <w:p>
      <w:pPr>
        <w:pStyle w:val="ListParagraph"/>
        <w:numPr>
          <w:ilvl w:val="0"/>
          <w:numId w:val="2"/>
        </w:numPr>
        <w:spacing w:after="80"/>
      </w:pPr>
      <w:r>
        <w:t xml:space="preserve">Self-managing within clear principles rather than managing through hierarchy.</w:t>
      </w:r>
    </w:p>
    <w:p>
      <w:pPr>
        <w:pStyle w:val="ListParagraph"/>
        <w:numPr>
          <w:ilvl w:val="0"/>
          <w:numId w:val="2"/>
        </w:numPr>
        <w:spacing w:after="80"/>
      </w:pPr>
      <w:r>
        <w:t xml:space="preserve">Telling the truth — to ourselves, our board, our clients, our funders, our learners — about what is working and what is not.</w:t>
      </w:r>
    </w:p>
    <w:p>
      <w:pPr>
        <w:spacing w:after="140"/>
      </w:pPr>
      <w:r>
        <w:t xml:space="preserve">If those commitments hold, the rest of this plan can change as needed. If those commitments slip, the most polished plan in the world will not save us.</w:t>
      </w:r>
    </w:p>
    <w:p>
      <w:pPr>
        <w:spacing w:after="140"/>
      </w:pPr>
      <w:r>
        <w:t xml:space="preserve">handle · kraft. The power to act.</w:t>
      </w:r>
    </w:p>
    <w:p>
      <w:r>
        <w:t xml:space="preserve"/>
      </w:r>
    </w:p>
    <w:p>
      <w:r>
        <w:t xml:space="preserve"/>
      </w:r>
    </w:p>
    <w:p>
      <w:pPr>
        <w:jc w:val="center"/>
      </w:pPr>
      <w:r>
        <w:rPr>
          <w:i/>
          <w:iCs/>
          <w:color w:val="888888"/>
        </w:rPr>
        <w:t xml:space="preserve">— End of Strategic Plan —</w:t>
      </w:r>
    </w:p>
    <w:p>
      <w:r>
        <w:t xml:space="preserve"/>
      </w:r>
    </w:p>
    <w:p>
      <w:pPr>
        <w:jc w:val="center"/>
      </w:pPr>
      <w:r>
        <w:rPr>
          <w:color w:val="555555"/>
          <w:sz w:val="20"/>
          <w:szCs w:val="20"/>
        </w:rPr>
        <w:t xml:space="preserve">Adopted by the Board of Directors on ___________________,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handlekraft Strategic Plan 2026-2030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4E78"/>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2026-05-01T23:29:45.870Z</dcterms:created>
  <dcterms:modified xsi:type="dcterms:W3CDTF">2026-05-01T23:29:45.885Z</dcterms:modified>
</cp:coreProperties>
</file>

<file path=docProps/custom.xml><?xml version="1.0" encoding="utf-8"?>
<Properties xmlns="http://schemas.openxmlformats.org/officeDocument/2006/custom-properties" xmlns:vt="http://schemas.openxmlformats.org/officeDocument/2006/docPropsVTypes"/>
</file>