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Discovery Sprint II</w:t>
      </w:r>
    </w:p>
    <w:p>
      <w:pPr>
        <w:jc w:val="center"/>
      </w:pPr>
      <w:r>
        <w:rPr>
          <w:b/>
          <w:sz w:val="60"/>
        </w:rPr>
        <w:t>RIDER 001</w:t>
      </w:r>
    </w:p>
    <w:p>
      <w:pPr>
        <w:jc w:val="center"/>
      </w:pPr>
      <w:r>
        <w:rPr>
          <w:b/>
          <w:sz w:val="34"/>
        </w:rPr>
        <w:t>Delta Audit, Reconciliation, and Interpretive Control</w:t>
      </w:r>
    </w:p>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pPr>
              <w:spacing w:after="40"/>
            </w:pPr>
            <w:r>
              <w:t>Artifact ID</w:t>
            </w:r>
          </w:p>
        </w:tc>
        <w:tc>
          <w:tcPr>
            <w:tcW w:type="dxa" w:w="4968"/>
            <w:vAlign w:val="center"/>
          </w:tcPr>
          <w:p>
            <w:pPr>
              <w:spacing w:after="40"/>
            </w:pPr>
            <w:r>
              <w:t>DRS-II-RIDER-001</w:t>
            </w:r>
          </w:p>
        </w:tc>
      </w:tr>
      <w:tr>
        <w:trPr>
          <w:cantSplit/>
        </w:trPr>
        <w:tc>
          <w:tcPr>
            <w:tcW w:type="dxa" w:w="4968"/>
            <w:vAlign w:val="center"/>
          </w:tcPr>
          <w:p>
            <w:pPr>
              <w:spacing w:after="40"/>
            </w:pPr>
            <w:r>
              <w:t>Governing artifact</w:t>
            </w:r>
          </w:p>
        </w:tc>
        <w:tc>
          <w:tcPr>
            <w:tcW w:type="dxa" w:w="4968"/>
            <w:vAlign w:val="center"/>
          </w:tcPr>
          <w:p>
            <w:pPr>
              <w:spacing w:after="40"/>
            </w:pPr>
            <w:r>
              <w:t>Discovery Research Sprint II - Recovering the Computational Language of Agricultural Produce Export from Origin</w:t>
            </w:r>
          </w:p>
        </w:tc>
      </w:tr>
      <w:tr>
        <w:trPr>
          <w:cantSplit/>
        </w:trPr>
        <w:tc>
          <w:tcPr>
            <w:tcW w:type="dxa" w:w="4968"/>
            <w:vAlign w:val="center"/>
          </w:tcPr>
          <w:p>
            <w:pPr>
              <w:spacing w:after="40"/>
            </w:pPr>
            <w:r>
              <w:t>Status</w:t>
            </w:r>
          </w:p>
        </w:tc>
        <w:tc>
          <w:tcPr>
            <w:tcW w:type="dxa" w:w="4968"/>
            <w:vAlign w:val="center"/>
          </w:tcPr>
          <w:p>
            <w:pPr>
              <w:spacing w:after="40"/>
            </w:pPr>
            <w:r>
              <w:t>Controlling rider for interpretation and future use</w:t>
            </w:r>
          </w:p>
        </w:tc>
      </w:tr>
      <w:tr>
        <w:trPr>
          <w:cantSplit/>
        </w:trPr>
        <w:tc>
          <w:tcPr>
            <w:tcW w:type="dxa" w:w="4968"/>
            <w:vAlign w:val="center"/>
          </w:tcPr>
          <w:p>
            <w:pPr>
              <w:spacing w:after="40"/>
            </w:pPr>
            <w:r>
              <w:t>Purpose</w:t>
            </w:r>
          </w:p>
        </w:tc>
        <w:tc>
          <w:tcPr>
            <w:tcW w:type="dxa" w:w="4968"/>
            <w:vAlign w:val="center"/>
          </w:tcPr>
          <w:p>
            <w:pPr>
              <w:spacing w:after="40"/>
            </w:pPr>
            <w:r>
              <w:t>Reconcile internal inconsistencies without rewriting the underlying research notebook</w:t>
            </w:r>
          </w:p>
        </w:tc>
      </w:tr>
      <w:tr>
        <w:trPr>
          <w:cantSplit/>
        </w:trPr>
        <w:tc>
          <w:tcPr>
            <w:tcW w:type="dxa" w:w="4968"/>
            <w:vAlign w:val="center"/>
          </w:tcPr>
          <w:p>
            <w:pPr>
              <w:spacing w:after="40"/>
            </w:pPr>
            <w:r>
              <w:t>Scope</w:t>
            </w:r>
          </w:p>
        </w:tc>
        <w:tc>
          <w:tcPr>
            <w:tcW w:type="dxa" w:w="4968"/>
            <w:vAlign w:val="center"/>
          </w:tcPr>
          <w:p>
            <w:pPr>
              <w:spacing w:after="40"/>
            </w:pPr>
            <w:r>
              <w:t>Discovery Sprint II, Sections 1-24 and closing matter</w:t>
            </w:r>
          </w:p>
        </w:tc>
      </w:tr>
      <w:tr>
        <w:trPr>
          <w:cantSplit/>
        </w:trPr>
        <w:tc>
          <w:tcPr>
            <w:tcW w:type="dxa" w:w="4968"/>
            <w:vAlign w:val="center"/>
          </w:tcPr>
          <w:p>
            <w:pPr>
              <w:spacing w:after="40"/>
            </w:pPr>
            <w:r>
              <w:t>Research posture</w:t>
            </w:r>
          </w:p>
        </w:tc>
        <w:tc>
          <w:tcPr>
            <w:tcW w:type="dxa" w:w="4968"/>
            <w:vAlign w:val="center"/>
          </w:tcPr>
          <w:p>
            <w:pPr>
              <w:spacing w:after="40"/>
            </w:pPr>
            <w:r>
              <w:t>Provisional scientific recovery; no new concept is canonized by this rider</w:t>
            </w:r>
          </w:p>
        </w:tc>
      </w:tr>
    </w:tbl>
    <w:p/>
    <w:p>
      <w:pPr>
        <w:pStyle w:val="SmallNote"/>
        <w:jc w:val="center"/>
      </w:pPr>
      <w:r>
        <w:t>This rider preserves the research record. It does not silently rewrite rejected hypotheses, observations, or historical development.</w:t>
      </w:r>
    </w:p>
    <w:p>
      <w:r>
        <w:br w:type="page"/>
      </w:r>
    </w:p>
    <w:p>
      <w:pPr>
        <w:pStyle w:val="Heading1"/>
      </w:pPr>
      <w:r>
        <w:t>1. Executive Disposition</w:t>
      </w:r>
    </w:p>
    <w:p>
      <w:r>
        <w:t>The Delta Audit found that the underlying research program remains coherent, but the manuscript contains local wording conflicts, duplicated steps, scope overstatements, and terminology drift introduced during iterative editing. These defects do not require the notebook to be rewritten. They can be reconciled by a controlling rider that states the authoritative interpretation of disputed passages.</w:t>
      </w:r>
    </w:p>
    <w:p>
      <w:r>
        <w:t>This rider therefore operates as an interpretive control. Where the notebook contains two formulations that cannot both govern, the rule stated in this rider controls. Historical text remains preserved as part of the scientific record.</w:t>
      </w:r>
    </w:p>
    <w:p>
      <w:pPr>
        <w:pStyle w:val="RiderClause"/>
      </w:pPr>
      <w:r>
        <w:t>Rider effect</w:t>
      </w:r>
    </w:p>
    <w:p>
      <w:r>
        <w:t>The underlying notebook remains the complete record of Discovery Sprint II. This rider governs interpretation, quotation, downstream specification work, future validation, and any proposed OriginOS Language Specification derived from the notebook.</w:t>
      </w:r>
    </w:p>
    <w:p>
      <w:pPr>
        <w:pStyle w:val="RiderClause"/>
      </w:pPr>
      <w:r>
        <w:t>Precedence</w:t>
      </w:r>
    </w:p>
    <w:p>
      <w:r>
        <w:t>Within Discovery Sprint II, the order of interpretive authority is: (1) ratified upstream discoveries from Sprint 0 and Sprint I; (2) this rider; (3) the most specific internally consistent working definition in the notebook; (4) explanatory narrative; and (5) illustrative examples.</w:t>
      </w:r>
    </w:p>
    <w:p>
      <w:pPr>
        <w:pStyle w:val="Heading1"/>
      </w:pPr>
      <w:r>
        <w:t>2. Delta Audit Method</w:t>
      </w:r>
    </w:p>
    <w:p>
      <w:r>
        <w:t>The audit was constrained to the context and objective of the research: recover the computational language already implicit in best-practice agricultural produce export from origin. It did not optimize the manuscript for software architecture, introduce implementation abstractions, or reopen upstream concepts without a documented falsification.</w:t>
      </w:r>
    </w:p>
    <w:p>
      <w:pPr>
        <w:pStyle w:val="ListBullet"/>
      </w:pPr>
      <w:r>
        <w:t>Compared repeated definitions and layer assignments across Sections 1-24.</w:t>
      </w:r>
    </w:p>
    <w:p>
      <w:pPr>
        <w:pStyle w:val="ListBullet"/>
      </w:pPr>
      <w:r>
        <w:t>Separated genuine contradictions from harmless differences in emphasis.</w:t>
      </w:r>
    </w:p>
    <w:p>
      <w:pPr>
        <w:pStyle w:val="ListBullet"/>
      </w:pPr>
      <w:r>
        <w:t>Preserved rejected hypotheses as historical evidence rather than deleting them.</w:t>
      </w:r>
    </w:p>
    <w:p>
      <w:pPr>
        <w:pStyle w:val="ListBullet"/>
      </w:pPr>
      <w:r>
        <w:t>Preferred the explanation with the greatest consistency with Reality, the Commerce Foundation, Enterprise Reality, and the recovered computational cycle.</w:t>
      </w:r>
    </w:p>
    <w:p>
      <w:pPr>
        <w:pStyle w:val="ListBullet"/>
      </w:pPr>
      <w:r>
        <w:t>Used the smallest reconciliation necessary; no new primitive was admitted merely to solve an editorial problem.</w:t>
      </w:r>
    </w:p>
    <w:p>
      <w:pPr>
        <w:pStyle w:val="Heading1"/>
      </w:pPr>
      <w:r>
        <w:t>3. Controlling Research Model</w:t>
      </w:r>
    </w:p>
    <w:p>
      <w:r>
        <w:t>The following dependency hierarchy controls all interpretation of Discovery Sprint II:</w:t>
      </w:r>
    </w:p>
    <w:p>
      <w:pPr>
        <w:pStyle w:val="ListNumber"/>
      </w:pPr>
      <w:r>
        <w:t>Reality</w:t>
      </w:r>
    </w:p>
    <w:p>
      <w:pPr>
        <w:pStyle w:val="ListNumber"/>
      </w:pPr>
      <w:r>
        <w:t>Commerce Foundation: Purpose, Control, Economic Value</w:t>
      </w:r>
    </w:p>
    <w:p>
      <w:pPr>
        <w:pStyle w:val="ListNumber"/>
      </w:pPr>
      <w:r>
        <w:t>Enterprise Reality: Material, Participant, Location, Agreement, Transformation</w:t>
      </w:r>
    </w:p>
    <w:p>
      <w:pPr>
        <w:pStyle w:val="ListNumber"/>
      </w:pPr>
      <w:r>
        <w:t>Enterprise Reasoning: epistemic and purposive interpretation of accepted claims about Reality</w:t>
      </w:r>
    </w:p>
    <w:p>
      <w:pPr>
        <w:pStyle w:val="ListNumber"/>
      </w:pPr>
      <w:r>
        <w:t>Enterprise Mathematics: future formal representation of recovered relationships</w:t>
      </w:r>
    </w:p>
    <w:p>
      <w:pPr>
        <w:pStyle w:val="ListNumber"/>
      </w:pPr>
      <w:r>
        <w:t>Enterprise Computation: governed execution and recursive recomputation through Enterprise Operations</w:t>
      </w:r>
    </w:p>
    <w:p>
      <w:pPr>
        <w:pStyle w:val="ListNumber"/>
      </w:pPr>
      <w:r>
        <w:t>Implementation: downstream representation only</w:t>
      </w:r>
    </w:p>
    <w:p>
      <w:pPr>
        <w:pStyle w:val="RiderClause"/>
      </w:pPr>
      <w:r>
        <w:t>Irreducibility rule</w:t>
      </w:r>
    </w:p>
    <w:p>
      <w:r>
        <w:t>Every concept belongs to the lowest layer at which it is irreducible. A downstream layer may depend on, evaluate, or operationalize an upstream concept, but it may not redefine or duplicate it.</w:t>
      </w:r>
    </w:p>
    <w:p>
      <w:pPr>
        <w:pStyle w:val="Heading1"/>
      </w:pPr>
      <w:r>
        <w:t>4. Reconciliation Clauses</w:t>
      </w:r>
    </w:p>
    <w:p>
      <w:pPr>
        <w:pStyle w:val="Heading2"/>
      </w:pPr>
      <w:r>
        <w:t>RC-001 - Enterprise Intent governs; Transformation Intent does not create a second primitive</w:t>
      </w:r>
    </w:p>
    <w:p>
      <w:r>
        <w:t>Sections 7, 11, 12, 18, 21, 22, and 23 shall be read as referring to Enterprise Intent wherever the manuscript uses 'Transformation Intent' to describe the desired state or desired state difference pursued by an Enterprise Operation. 'Transformation intent' may be used only descriptively to mean the intended effect of a particular Transformation; it is not a separate recovered concept.</w:t>
      </w:r>
    </w:p>
    <w:p>
      <w:pPr>
        <w:pStyle w:val="RiderClause"/>
      </w:pPr>
      <w:r>
        <w:t>Controlling consequence</w:t>
      </w:r>
    </w:p>
    <w:p>
      <w:r>
        <w:t>The controlling relationship is: Desired State Difference -&gt; Proposed Enterprise Intent -&gt; Evaluation -&gt; Commitment -&gt; Committed Enterprise Intent -&gt; Candidate Transformations -&gt; Transformation Plan.</w:t>
      </w:r>
    </w:p>
    <w:p>
      <w:pPr>
        <w:pStyle w:val="Heading2"/>
      </w:pPr>
      <w:r>
        <w:t>RC-002 - Economic Value remains upstream; Enterprise Value is its operation-relative interpretation</w:t>
      </w:r>
    </w:p>
    <w:p>
      <w:r>
        <w:t>Discovery Sprint II does not create a broader or competing species of value. Economic Value retains the Sprint 0 definition. Enterprise Value means the purpose-relative, operation-relevant interpretation and evaluation of Economic Value within a defined Enterprise Operation and Enterprise Context.</w:t>
      </w:r>
    </w:p>
    <w:p>
      <w:pPr>
        <w:pStyle w:val="RiderClause"/>
      </w:pPr>
      <w:r>
        <w:t>Controlling consequence</w:t>
      </w:r>
    </w:p>
    <w:p>
      <w:r>
        <w:t>References to assets, relationships, capabilities, states, outcomes, or transformations possessing Enterprise Value mean that they are evaluated for their probability-weighted, realizable contribution to future economic utility under the active Purpose, timing, constraints, sacrifices, and alternatives.</w:t>
      </w:r>
    </w:p>
    <w:p>
      <w:pPr>
        <w:pStyle w:val="Heading2"/>
      </w:pPr>
      <w:r>
        <w:t>RC-003 - Enterprise Value Erosion is an effect, not the adverse event itself</w:t>
      </w:r>
    </w:p>
    <w:p>
      <w:r>
        <w:t>A warehouse fire, cancellation, delay, rejection, price movement, loss of control, or regulatory change is not itself Enterprise Value Erosion. It is a change in Reality that may cause or reveal erosion.</w:t>
      </w:r>
    </w:p>
    <w:p>
      <w:pPr>
        <w:pStyle w:val="RiderClause"/>
      </w:pPr>
      <w:r>
        <w:t>Controlling consequence</w:t>
      </w:r>
    </w:p>
    <w:p>
      <w:r>
        <w:t>Enterprise Value Erosion is the purpose-relative reduction in expected Economic Value as interpreted within an Enterprise Operation.</w:t>
      </w:r>
    </w:p>
    <w:p>
      <w:pPr>
        <w:pStyle w:val="Heading2"/>
      </w:pPr>
      <w:r>
        <w:t>RC-004 - Opportunity is relational and epistemically accepted</w:t>
      </w:r>
    </w:p>
    <w:p>
      <w:r>
        <w:t>External commercial conditions may exist independently of the enterprise, but Enterprise Opportunity is not identical to market demand and is not generated solely by assets. It is an accepted, purpose-relative commercial possibility recognized through the relationship among commercial conditions, accepted knowledge, attainable Means, timing, constraints, authority, sacrifices, and alternatives.</w:t>
      </w:r>
    </w:p>
    <w:p>
      <w:pPr>
        <w:pStyle w:val="RiderClause"/>
      </w:pPr>
      <w:r>
        <w:t>Controlling consequence</w:t>
      </w:r>
    </w:p>
    <w:p>
      <w:r>
        <w:t>The phrase 'Potential Opportunity' shall be read as commercial possibility prior to enterprise recognition, not as a fully formed Enterprise Opportunity existing independently of an enterprise.</w:t>
      </w:r>
    </w:p>
    <w:p>
      <w:pPr>
        <w:pStyle w:val="Heading2"/>
      </w:pPr>
      <w:r>
        <w:t>RC-005 - Commitment activates accountable pursuit, subject to continuing validation</w:t>
      </w:r>
    </w:p>
    <w:p>
      <w:r>
        <w:t>The strongest current explanation is that Enterprise Commitment converts proposed Enterprise Intent into committed Enterprise Intent and activates the corresponding Enterprise Operation, planning obligations, governance responsibilities, and controlled exposure of Means and value.</w:t>
      </w:r>
    </w:p>
    <w:p>
      <w:pPr>
        <w:pStyle w:val="RiderClause"/>
      </w:pPr>
      <w:r>
        <w:t>Controlling consequence</w:t>
      </w:r>
    </w:p>
    <w:p>
      <w:r>
        <w:t>This remains a Candidate Law. Exploratory observation, negotiation, or evaluation may occur before commitment without constituting an activated Enterprise Operation in the strict computational sense.</w:t>
      </w:r>
    </w:p>
    <w:p>
      <w:pPr>
        <w:pStyle w:val="Heading2"/>
      </w:pPr>
      <w:r>
        <w:t>RC-006 - Means, Means Assembly, and Means Orchestration are distinct</w:t>
      </w:r>
    </w:p>
    <w:p>
      <w:r>
        <w:t>Means are resources, rights, capabilities, services, relationships, knowledge, authorities, and accessible capacities that may be relied upon in pursuing Enterprise Intent. Time is not a Means; timing and temporal availability are conditions of sufficiency.</w:t>
      </w:r>
    </w:p>
    <w:p>
      <w:pPr>
        <w:pStyle w:val="RiderClause"/>
      </w:pPr>
      <w:r>
        <w:t>Controlling consequence</w:t>
      </w:r>
    </w:p>
    <w:p>
      <w:r>
        <w:t>Transformation Planning identifies required Means and candidate configurations. Means Assembly obtains, secures, organizes, or makes required Means available. Means Orchestration continuously coordinates, allocates, substitutes, governs, and reconfigures available Means throughout the Enterprise Operation. The activities are recursively coupled but not interchangeable.</w:t>
      </w:r>
    </w:p>
    <w:p>
      <w:pPr>
        <w:pStyle w:val="Heading2"/>
      </w:pPr>
      <w:r>
        <w:t>RC-007 - Enterprise State and Enterprise Context remain distinct</w:t>
      </w:r>
    </w:p>
    <w:p>
      <w:r>
        <w:t>Enterprise State is the enterprise's currently accepted representation of its condition, derived from Accepted Business Facts. Enterprise Context is the purpose-relative and reasoning-task-relative projection through which relevant State, Knowledge, Agreements, constraints, timing, and other conditions are assembled for a particular reasoning episode.</w:t>
      </w:r>
    </w:p>
    <w:p>
      <w:pPr>
        <w:pStyle w:val="RiderClause"/>
      </w:pPr>
      <w:r>
        <w:t>Controlling consequence</w:t>
      </w:r>
    </w:p>
    <w:p>
      <w:r>
        <w:t>Context changes when its factual premises, Purpose, Intent, operation, reasoning question, or applicable conditions change. Reality changes first; State and Context are then recomputed from accepted evidence.</w:t>
      </w:r>
    </w:p>
    <w:p>
      <w:pPr>
        <w:pStyle w:val="Heading2"/>
      </w:pPr>
      <w:r>
        <w:t>RC-008 - Observation, Evidence, Accepted Business Fact, Knowledge, State, and Context are separate</w:t>
      </w:r>
    </w:p>
    <w:p>
      <w:r>
        <w:t>The controlling epistemic sequence is: Reality -&gt; Observation -&gt; Evidence -&gt; acceptance, qualification, revision, or rejection -&gt; Accepted Business Fact -&gt; Enterprise State and Enterprise Knowledge -&gt; Enterprise Context -&gt; reasoning.</w:t>
      </w:r>
    </w:p>
    <w:p>
      <w:pPr>
        <w:pStyle w:val="RiderClause"/>
      </w:pPr>
      <w:r>
        <w:t>Controlling consequence</w:t>
      </w:r>
    </w:p>
    <w:p>
      <w:r>
        <w:t>These are not maturity levels. They are distinct epistemic and computational products linked by provenance-bearing relationships.</w:t>
      </w:r>
    </w:p>
    <w:p>
      <w:pPr>
        <w:pStyle w:val="Heading2"/>
      </w:pPr>
      <w:r>
        <w:t>RC-009 - Adaptive Enterprise Reasoning spans interpretation and replanning; execution remains governed action</w:t>
      </w:r>
    </w:p>
    <w:p>
      <w:r>
        <w:t>Adaptive Enterprise Reasoning is the recursive process through which an enterprise interprets changing Reality, evaluates evidence, revises accepted claims, recomputes State and Context, reassesses Opportunity and Intent, generates or revises Candidate Transformations, and adapts planning.</w:t>
      </w:r>
    </w:p>
    <w:p>
      <w:pPr>
        <w:pStyle w:val="RiderClause"/>
      </w:pPr>
      <w:r>
        <w:t>Controlling consequence</w:t>
      </w:r>
    </w:p>
    <w:p>
      <w:r>
        <w:t>Execution is not itself reasoning. The Enterprise Computational Cycle couples Adaptive Enterprise Reasoning to Governance, Authorization, Transformation Execution, Outcome Observation, and renewed evidence.</w:t>
      </w:r>
    </w:p>
    <w:p>
      <w:pPr>
        <w:pStyle w:val="Heading2"/>
      </w:pPr>
      <w:r>
        <w:t>RC-010 - Intent is normally persistent, not immutable</w:t>
      </w:r>
    </w:p>
    <w:p>
      <w:r>
        <w:t>Enterprise Intent is ordinarily more persistent than Strategy or Transformation Plans. Plans may change while Intent remains stable. Material changes in Purpose, Commitment, feasibility, authority, expected value, or accepted conditions may nevertheless require Intent to be amended, superseded, suspended, or abandoned.</w:t>
      </w:r>
    </w:p>
    <w:p>
      <w:pPr>
        <w:pStyle w:val="RiderClause"/>
      </w:pPr>
      <w:r>
        <w:t>Controlling consequence</w:t>
      </w:r>
    </w:p>
    <w:p>
      <w:r>
        <w:t>Any absolute statement that Intent always remains unchanged is controlled by this qualification.</w:t>
      </w:r>
    </w:p>
    <w:p>
      <w:pPr>
        <w:pStyle w:val="Heading2"/>
      </w:pPr>
      <w:r>
        <w:t>RC-011 - Enterprise Operation is bounded and computationally distinguishable, not necessarily independent</w:t>
      </w:r>
    </w:p>
    <w:p>
      <w:r>
        <w:t>An Enterprise Operation is the primary bounded computational unit recovered by Sprint II. It may possess distinct Opportunity, Commitment, Intent, facts, State, Context, planning, value exposure, and lifecycle.</w:t>
      </w:r>
    </w:p>
    <w:p>
      <w:pPr>
        <w:pStyle w:val="RiderClause"/>
      </w:pPr>
      <w:r>
        <w:t>Controlling consequence</w:t>
      </w:r>
    </w:p>
    <w:p>
      <w:r>
        <w:t>Operations may remain interdependent through shared Participants, Materials, Agreements, finance, facilities, authority, reputation, Knowledge, constraints, risks, or other aspects of shared Enterprise Reality.</w:t>
      </w:r>
    </w:p>
    <w:p>
      <w:pPr>
        <w:pStyle w:val="Heading2"/>
      </w:pPr>
      <w:r>
        <w:t>RC-012 - Means Orchestration is one defining behavior, not the complete identity of enterprise</w:t>
      </w:r>
    </w:p>
    <w:p>
      <w:r>
        <w:t>Means Orchestration is one defining operational behavior through which an enterprise maintains commercially sufficient Means under changing conditions. It does not reduce the enterprise itself to orchestration.</w:t>
      </w:r>
    </w:p>
    <w:p>
      <w:pPr>
        <w:pStyle w:val="RiderClause"/>
      </w:pPr>
      <w:r>
        <w:t>Controlling consequence</w:t>
      </w:r>
    </w:p>
    <w:p>
      <w:r>
        <w:t>The enterprise remains an organized agent constituted through Purpose, Control, commitments, Participants, and governed activity.</w:t>
      </w:r>
    </w:p>
    <w:p>
      <w:pPr>
        <w:pStyle w:val="Heading2"/>
      </w:pPr>
      <w:r>
        <w:t>RC-013 - Value Realization is graph-based and progressive</w:t>
      </w:r>
    </w:p>
    <w:p>
      <w:r>
        <w:t>The Enterprise Value Realization Graph is the evolving network of states, Candidate Transformations, executed Transformations, dependencies, alternatives, interruptions, and recovery paths through which an Enterprise Operation pursues Enterprise Value.</w:t>
      </w:r>
    </w:p>
    <w:p>
      <w:pPr>
        <w:pStyle w:val="RiderClause"/>
      </w:pPr>
      <w:r>
        <w:t>Controlling consequence</w:t>
      </w:r>
    </w:p>
    <w:p>
      <w:r>
        <w:t>A Value Realization Chain is one actual or proposed path through that graph. The chain shown in Section 15 is representative rather than universally canonical. Value may be created, preserved, protected, exchanged, eroded, or partially realized at multiple points; Commercial Settlement is not the only possible realization event.</w:t>
      </w:r>
    </w:p>
    <w:p>
      <w:pPr>
        <w:pStyle w:val="Heading2"/>
      </w:pPr>
      <w:r>
        <w:t>RC-014 - Completion, outcome, and value realization remain independent observations</w:t>
      </w:r>
    </w:p>
    <w:p>
      <w:r>
        <w:t>Transformation Completion, Outcome Achievement, and Enterprise Value Realization shall never be treated as synonyms. A Transformation may complete without producing the intended outcome; an outcome may occur without realizing expected value; and value may be preserved or realized without completion of every originally planned Transformation.</w:t>
      </w:r>
    </w:p>
    <w:p>
      <w:pPr>
        <w:pStyle w:val="RiderClause"/>
      </w:pPr>
      <w:r>
        <w:t>Controlling consequence</w:t>
      </w:r>
    </w:p>
    <w:p>
      <w:r>
        <w:t>All future OriginOS models must evaluate these observations separately.</w:t>
      </w:r>
    </w:p>
    <w:p>
      <w:pPr>
        <w:pStyle w:val="Heading2"/>
      </w:pPr>
      <w:r>
        <w:t>RC-015 - The Enterprise Computational Cycle begins and ends in Reality</w:t>
      </w:r>
    </w:p>
    <w:p>
      <w:r>
        <w:t>The duplicate 'Preferred Future State and Desired State Difference' step in Section 18 has no interpretive effect and shall be read once only.</w:t>
      </w:r>
    </w:p>
    <w:p>
      <w:pPr>
        <w:pStyle w:val="RiderClause"/>
      </w:pPr>
      <w:r>
        <w:t>Controlling consequence</w:t>
      </w:r>
    </w:p>
    <w:p>
      <w:r>
        <w:t>The controlling cycle is: Reality -&gt; Observation -&gt; Evidence -&gt; Accepted Business Facts -&gt; Enterprise State -&gt; Enterprise Context -&gt; Opportunity recognition or reassessment -&gt; Desired State Difference -&gt; Proposed Intent -&gt; evaluation -&gt; Commit/Reject/Defer/Continue Investigation -&gt; Enterprise Operation -&gt; Candidate Transformations -&gt; required Means -&gt; constraints, risks, dependencies, and Authority Resolution -&gt; Means Assembly and Orchestration -&gt; Authorized Transformation Plan -&gt; governed Transformation Execution -&gt; observation of completion, outcomes, and value effects -&gt; changed or preserved Reality -&gt; new Observation and Evidence -&gt; recomputation and adaptation.</w:t>
      </w:r>
    </w:p>
    <w:p>
      <w:pPr>
        <w:pStyle w:val="Heading2"/>
      </w:pPr>
      <w:r>
        <w:t>RC-016 - Governance and authorization precede governed execution</w:t>
      </w:r>
    </w:p>
    <w:p>
      <w:r>
        <w:t>Enterprise Reasoning does not create authority. Authority originates in Control, Agreements, commitments, rights, obligations, mandates, and legitimate delegation. Authority Resolution determines which existing authority applies.</w:t>
      </w:r>
    </w:p>
    <w:p>
      <w:pPr>
        <w:pStyle w:val="RiderClause"/>
      </w:pPr>
      <w:r>
        <w:t>Controlling consequence</w:t>
      </w:r>
    </w:p>
    <w:p>
      <w:r>
        <w:t>A Transformation Plan may be proposed or revised; only authorized Transformations are governed for execution. Plans are not themselves executed.</w:t>
      </w:r>
    </w:p>
    <w:p>
      <w:pPr>
        <w:pStyle w:val="Heading2"/>
      </w:pPr>
      <w:r>
        <w:t>RC-017 - Scientific maturity and confidence are separate dimensions</w:t>
      </w:r>
    </w:p>
    <w:p>
      <w:r>
        <w:t>Scientific maturity is classified as Observation, Hypothesis, Candidate Law, Canonical Law, or Foundational Law. Confidence is classified as Low, Medium, or High.</w:t>
      </w:r>
    </w:p>
    <w:p>
      <w:pPr>
        <w:pStyle w:val="RiderClause"/>
      </w:pPr>
      <w:r>
        <w:t>Controlling consequence</w:t>
      </w:r>
    </w:p>
    <w:p>
      <w:r>
        <w:t>A Candidate Law may have High confidence and still remain non-canonical because the declared validation domain is incomplete. 'Canonical' is a maturity and governance status, not a confidence score.</w:t>
      </w:r>
    </w:p>
    <w:p>
      <w:pPr>
        <w:pStyle w:val="Heading2"/>
      </w:pPr>
      <w:r>
        <w:t>RC-018 - Canonical status is domain-scoped and defeasible</w:t>
      </w:r>
    </w:p>
    <w:p>
      <w:r>
        <w:t>A Canonical Law is canonical only within its declared validation domain after surviving adversarial validation across the required commodities, participant roles, materially different business models, and relevant Enterprise Operation lifecycle stages.</w:t>
      </w:r>
    </w:p>
    <w:p>
      <w:pPr>
        <w:pStyle w:val="RiderClause"/>
      </w:pPr>
      <w:r>
        <w:t>Controlling consequence</w:t>
      </w:r>
    </w:p>
    <w:p>
      <w:r>
        <w:t>Canonization does not assert universal truth, does not extinguish future falsification, and does not authorize redefinition of upstream laws without documented contradictory evidence.</w:t>
      </w:r>
    </w:p>
    <w:p>
      <w:pPr>
        <w:pStyle w:val="Heading2"/>
      </w:pPr>
      <w:r>
        <w:t>RC-019 - Falsification Register replacements are current best-supported explanations</w:t>
      </w:r>
    </w:p>
    <w:p>
      <w:r>
        <w:t>The replacement field in the Falsification Register records the current best-supported explanation, not a proven or automatically canonical law.</w:t>
      </w:r>
    </w:p>
    <w:p>
      <w:pPr>
        <w:pStyle w:val="RiderClause"/>
      </w:pPr>
      <w:r>
        <w:t>Controlling consequence</w:t>
      </w:r>
    </w:p>
    <w:p>
      <w:r>
        <w:t>FR-001 is reconciled as Adaptive Enterprise Reasoning centered on continually revised Transformation Planning. FR-002 is reconciled as dynamic Means Assembly and Orchestration rather than static capability. FR-003 is reconciled as value erosion possible throughout the Value Realization Graph. FR-004 is reconciled by the relational Opportunity definition in RC-004. FR-005 is reconciled as value creation, preservation, protection, exchange, and realization under continuing exposure to erosion - not preservation alone.</w:t>
      </w:r>
    </w:p>
    <w:p>
      <w:pPr>
        <w:pStyle w:val="Heading2"/>
      </w:pPr>
      <w:r>
        <w:t>RC-020 - Synthesis terminology uses canonical names</w:t>
      </w:r>
    </w:p>
    <w:p>
      <w:r>
        <w:t>In Sections 22-24 and all downstream specifications, the full canonical terms shall be used where ambiguity is possible: Enterprise Opportunity, Enterprise Commitment, Enterprise Intent, Accepted Business Fact, Enterprise Knowledge, Enterprise State, Enterprise Context, Enterprise Operation, Enterprise Value, Means Assembly, Means Orchestration, Transformation Planning, and Adaptive Enterprise Reasoning.</w:t>
      </w:r>
    </w:p>
    <w:p>
      <w:pPr>
        <w:pStyle w:val="RiderClause"/>
      </w:pPr>
      <w:r>
        <w:t>Controlling consequence</w:t>
      </w:r>
    </w:p>
    <w:p>
      <w:r>
        <w:t>Observation and Evidence are distinct. Adaptive Enterprise Reasoning is a cross-layer recursive process coupling Enterprise Reasoning to Enterprise Computation; it is not duplicated as two independent primitives.</w:t>
      </w:r>
    </w:p>
    <w:p>
      <w:pPr>
        <w:pStyle w:val="Heading2"/>
      </w:pPr>
      <w:r>
        <w:t>RC-021 - The emerging grammar is descriptive, not yet formal</w:t>
      </w:r>
    </w:p>
    <w:p>
      <w:r>
        <w:t>The sequence in Section 23 is an observed recurring semantic pattern, not a universal workflow or canonized grammar.</w:t>
      </w:r>
    </w:p>
    <w:p>
      <w:pPr>
        <w:pStyle w:val="RiderClause"/>
      </w:pPr>
      <w:r>
        <w:t>Controlling consequence</w:t>
      </w:r>
    </w:p>
    <w:p>
      <w:r>
        <w:t>The controlling formulation is: accept or revise Accepted Business Facts -&gt; derive Enterprise State -&gt; construct Enterprise Context -&gt; recognize or reassess Enterprise Opportunity -&gt; form Proposed Enterprise Intent -&gt; evaluate -&gt; Commit, Reject, Defer, or Continue Investigation -&gt; generate Candidate Transformations -&gt; identify and assemble Means -&gt; resolve constraints, risks, dependencies, and Authority -&gt; establish an Authorized Transformation Plan -&gt; execute governed Transformations -&gt; observe completion, outcomes, and value effects -&gt; revise accepted claims, State, and Context -&gt; adapt, continue, suspend, abandon, or conclude.</w:t>
      </w:r>
    </w:p>
    <w:p>
      <w:pPr>
        <w:pStyle w:val="Heading2"/>
      </w:pPr>
      <w:r>
        <w:t>RC-022 - Research language concerns enterprise reasoning, not consciousness</w:t>
      </w:r>
    </w:p>
    <w:p>
      <w:r>
        <w:t>References to how an enterprise 'thinks' are rhetorical shorthand only. The scientific question is how an enterprise reasons from accepted knowledge toward purposeful, governed Transformation.</w:t>
      </w:r>
    </w:p>
    <w:p>
      <w:pPr>
        <w:pStyle w:val="RiderClause"/>
      </w:pPr>
      <w:r>
        <w:t>Controlling consequence</w:t>
      </w:r>
    </w:p>
    <w:p>
      <w:r>
        <w:t>No claim is made that an enterprise is conscious or possesses cognition independent of Participants and organized commercial activity.</w:t>
      </w:r>
    </w:p>
    <w:p>
      <w:pPr>
        <w:pStyle w:val="Heading2"/>
      </w:pPr>
      <w:r>
        <w:t>RC-023 - Editorial duplications and conversational residue have no substantive effect</w:t>
      </w:r>
    </w:p>
    <w:p>
      <w:r>
        <w:t>Duplicated cycle steps, repeated closing paragraphs, the double punctuation in the closing page, and first-person conversational commentary are editorial residue. They create no law, concept, or precedence.</w:t>
      </w:r>
    </w:p>
    <w:p>
      <w:pPr>
        <w:pStyle w:val="RiderClause"/>
      </w:pPr>
      <w:r>
        <w:t>Controlling consequence</w:t>
      </w:r>
    </w:p>
    <w:p>
      <w:r>
        <w:t>Future quotations should use the reconciled statements in this rider rather than the duplicated or conversational wording.</w:t>
      </w:r>
    </w:p>
    <w:p>
      <w:pPr>
        <w:pStyle w:val="Heading1"/>
      </w:pPr>
      <w:r>
        <w:t>5. Delta Classification</w:t>
      </w:r>
    </w:p>
    <w:p>
      <w:r>
        <w:t>The audit distinguishes substantive reconciliation from editorial cleanup. Only the first category changes how the notebook must be interpreted.</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tcPr>
          <w:p>
            <w:pPr>
              <w:spacing w:after="0"/>
            </w:pPr>
            <w:r>
              <w:rPr>
                <w:b/>
                <w:sz w:val="16"/>
              </w:rPr>
              <w:t>Delta class</w:t>
            </w:r>
          </w:p>
        </w:tc>
        <w:tc>
          <w:tcPr>
            <w:tcW w:type="dxa" w:w="2484"/>
          </w:tcPr>
          <w:p>
            <w:pPr>
              <w:spacing w:after="0"/>
            </w:pPr>
            <w:r>
              <w:rPr>
                <w:b/>
                <w:sz w:val="16"/>
              </w:rPr>
              <w:t>Examples</w:t>
            </w:r>
          </w:p>
        </w:tc>
        <w:tc>
          <w:tcPr>
            <w:tcW w:type="dxa" w:w="2484"/>
          </w:tcPr>
          <w:p>
            <w:pPr>
              <w:spacing w:after="0"/>
            </w:pPr>
            <w:r>
              <w:rPr>
                <w:b/>
                <w:sz w:val="16"/>
              </w:rPr>
              <w:t>Effect</w:t>
            </w:r>
          </w:p>
        </w:tc>
        <w:tc>
          <w:tcPr>
            <w:tcW w:type="dxa" w:w="2484"/>
          </w:tcPr>
          <w:p>
            <w:pPr>
              <w:spacing w:after="0"/>
            </w:pPr>
            <w:r>
              <w:rPr>
                <w:b/>
                <w:sz w:val="16"/>
              </w:rPr>
              <w:t>Rider treatment</w:t>
            </w:r>
          </w:p>
        </w:tc>
      </w:tr>
      <w:tr>
        <w:trPr>
          <w:cantSplit/>
        </w:trPr>
        <w:tc>
          <w:tcPr>
            <w:tcW w:type="dxa" w:w="2484"/>
            <w:vAlign w:val="top"/>
          </w:tcPr>
          <w:p>
            <w:pPr>
              <w:spacing w:after="0"/>
            </w:pPr>
            <w:r>
              <w:rPr>
                <w:sz w:val="16"/>
              </w:rPr>
              <w:t>Concept conflict</w:t>
            </w:r>
          </w:p>
        </w:tc>
        <w:tc>
          <w:tcPr>
            <w:tcW w:type="dxa" w:w="2484"/>
            <w:vAlign w:val="top"/>
          </w:tcPr>
          <w:p>
            <w:pPr>
              <w:spacing w:after="0"/>
            </w:pPr>
            <w:r>
              <w:rPr>
                <w:sz w:val="16"/>
              </w:rPr>
              <w:t>Transformation Intent vs Enterprise Intent; two Enterprise Value formulations</w:t>
            </w:r>
          </w:p>
        </w:tc>
        <w:tc>
          <w:tcPr>
            <w:tcW w:type="dxa" w:w="2484"/>
            <w:vAlign w:val="top"/>
          </w:tcPr>
          <w:p>
            <w:pPr>
              <w:spacing w:after="0"/>
            </w:pPr>
            <w:r>
              <w:rPr>
                <w:sz w:val="16"/>
              </w:rPr>
              <w:t>Could create competing primitives or redefine an upstream law</w:t>
            </w:r>
          </w:p>
        </w:tc>
        <w:tc>
          <w:tcPr>
            <w:tcW w:type="dxa" w:w="2484"/>
            <w:vAlign w:val="top"/>
          </w:tcPr>
          <w:p>
            <w:pPr>
              <w:spacing w:after="0"/>
            </w:pPr>
            <w:r>
              <w:rPr>
                <w:sz w:val="16"/>
              </w:rPr>
              <w:t>Resolved by controlling definition</w:t>
            </w:r>
          </w:p>
        </w:tc>
      </w:tr>
      <w:tr>
        <w:trPr>
          <w:cantSplit/>
        </w:trPr>
        <w:tc>
          <w:tcPr>
            <w:tcW w:type="dxa" w:w="2484"/>
            <w:vAlign w:val="top"/>
          </w:tcPr>
          <w:p>
            <w:pPr>
              <w:spacing w:after="0"/>
            </w:pPr>
            <w:r>
              <w:rPr>
                <w:sz w:val="16"/>
              </w:rPr>
              <w:t>Boundary ambiguity</w:t>
            </w:r>
          </w:p>
        </w:tc>
        <w:tc>
          <w:tcPr>
            <w:tcW w:type="dxa" w:w="2484"/>
            <w:vAlign w:val="top"/>
          </w:tcPr>
          <w:p>
            <w:pPr>
              <w:spacing w:after="0"/>
            </w:pPr>
            <w:r>
              <w:rPr>
                <w:sz w:val="16"/>
              </w:rPr>
              <w:t>Planning vs Assembly vs Orchestration; reasoning vs execution</w:t>
            </w:r>
          </w:p>
        </w:tc>
        <w:tc>
          <w:tcPr>
            <w:tcW w:type="dxa" w:w="2484"/>
            <w:vAlign w:val="top"/>
          </w:tcPr>
          <w:p>
            <w:pPr>
              <w:spacing w:after="0"/>
            </w:pPr>
            <w:r>
              <w:rPr>
                <w:sz w:val="16"/>
              </w:rPr>
              <w:t>Could collapse distinct computational roles</w:t>
            </w:r>
          </w:p>
        </w:tc>
        <w:tc>
          <w:tcPr>
            <w:tcW w:type="dxa" w:w="2484"/>
            <w:vAlign w:val="top"/>
          </w:tcPr>
          <w:p>
            <w:pPr>
              <w:spacing w:after="0"/>
            </w:pPr>
            <w:r>
              <w:rPr>
                <w:sz w:val="16"/>
              </w:rPr>
              <w:t>Resolved by explicit dependency and role separation</w:t>
            </w:r>
          </w:p>
        </w:tc>
      </w:tr>
      <w:tr>
        <w:trPr>
          <w:cantSplit/>
        </w:trPr>
        <w:tc>
          <w:tcPr>
            <w:tcW w:type="dxa" w:w="2484"/>
            <w:vAlign w:val="top"/>
          </w:tcPr>
          <w:p>
            <w:pPr>
              <w:spacing w:after="0"/>
            </w:pPr>
            <w:r>
              <w:rPr>
                <w:sz w:val="16"/>
              </w:rPr>
              <w:t>Scope overstatement</w:t>
            </w:r>
          </w:p>
        </w:tc>
        <w:tc>
          <w:tcPr>
            <w:tcW w:type="dxa" w:w="2484"/>
            <w:vAlign w:val="top"/>
          </w:tcPr>
          <w:p>
            <w:pPr>
              <w:spacing w:after="0"/>
            </w:pPr>
            <w:r>
              <w:rPr>
                <w:sz w:val="16"/>
              </w:rPr>
              <w:t>Canonical realization chain; universal intent stability; operation independence</w:t>
            </w:r>
          </w:p>
        </w:tc>
        <w:tc>
          <w:tcPr>
            <w:tcW w:type="dxa" w:w="2484"/>
            <w:vAlign w:val="top"/>
          </w:tcPr>
          <w:p>
            <w:pPr>
              <w:spacing w:after="0"/>
            </w:pPr>
            <w:r>
              <w:rPr>
                <w:sz w:val="16"/>
              </w:rPr>
              <w:t>Could convert a candidate observation into an unjustified universal claim</w:t>
            </w:r>
          </w:p>
        </w:tc>
        <w:tc>
          <w:tcPr>
            <w:tcW w:type="dxa" w:w="2484"/>
            <w:vAlign w:val="top"/>
          </w:tcPr>
          <w:p>
            <w:pPr>
              <w:spacing w:after="0"/>
            </w:pPr>
            <w:r>
              <w:rPr>
                <w:sz w:val="16"/>
              </w:rPr>
              <w:t>Narrowed to evidence-supported scope</w:t>
            </w:r>
          </w:p>
        </w:tc>
      </w:tr>
      <w:tr>
        <w:trPr>
          <w:cantSplit/>
        </w:trPr>
        <w:tc>
          <w:tcPr>
            <w:tcW w:type="dxa" w:w="2484"/>
            <w:vAlign w:val="top"/>
          </w:tcPr>
          <w:p>
            <w:pPr>
              <w:spacing w:after="0"/>
            </w:pPr>
            <w:r>
              <w:rPr>
                <w:sz w:val="16"/>
              </w:rPr>
              <w:t>Status conflation</w:t>
            </w:r>
          </w:p>
        </w:tc>
        <w:tc>
          <w:tcPr>
            <w:tcW w:type="dxa" w:w="2484"/>
            <w:vAlign w:val="top"/>
          </w:tcPr>
          <w:p>
            <w:pPr>
              <w:spacing w:after="0"/>
            </w:pPr>
            <w:r>
              <w:rPr>
                <w:sz w:val="16"/>
              </w:rPr>
              <w:t>Canonical used as confidence level</w:t>
            </w:r>
          </w:p>
        </w:tc>
        <w:tc>
          <w:tcPr>
            <w:tcW w:type="dxa" w:w="2484"/>
            <w:vAlign w:val="top"/>
          </w:tcPr>
          <w:p>
            <w:pPr>
              <w:spacing w:after="0"/>
            </w:pPr>
            <w:r>
              <w:rPr>
                <w:sz w:val="16"/>
              </w:rPr>
              <w:t>Could create an invalid route to OLS admission</w:t>
            </w:r>
          </w:p>
        </w:tc>
        <w:tc>
          <w:tcPr>
            <w:tcW w:type="dxa" w:w="2484"/>
            <w:vAlign w:val="top"/>
          </w:tcPr>
          <w:p>
            <w:pPr>
              <w:spacing w:after="0"/>
            </w:pPr>
            <w:r>
              <w:rPr>
                <w:sz w:val="16"/>
              </w:rPr>
              <w:t>Maturity and confidence separated</w:t>
            </w:r>
          </w:p>
        </w:tc>
      </w:tr>
      <w:tr>
        <w:trPr>
          <w:cantSplit/>
        </w:trPr>
        <w:tc>
          <w:tcPr>
            <w:tcW w:type="dxa" w:w="2484"/>
            <w:vAlign w:val="top"/>
          </w:tcPr>
          <w:p>
            <w:pPr>
              <w:spacing w:after="0"/>
            </w:pPr>
            <w:r>
              <w:rPr>
                <w:sz w:val="16"/>
              </w:rPr>
              <w:t>Editorial defect</w:t>
            </w:r>
          </w:p>
        </w:tc>
        <w:tc>
          <w:tcPr>
            <w:tcW w:type="dxa" w:w="2484"/>
            <w:vAlign w:val="top"/>
          </w:tcPr>
          <w:p>
            <w:pPr>
              <w:spacing w:after="0"/>
            </w:pPr>
            <w:r>
              <w:rPr>
                <w:sz w:val="16"/>
              </w:rPr>
              <w:t>Duplicate steps, repeated closing paragraph, first-person residue</w:t>
            </w:r>
          </w:p>
        </w:tc>
        <w:tc>
          <w:tcPr>
            <w:tcW w:type="dxa" w:w="2484"/>
            <w:vAlign w:val="top"/>
          </w:tcPr>
          <w:p>
            <w:pPr>
              <w:spacing w:after="0"/>
            </w:pPr>
            <w:r>
              <w:rPr>
                <w:sz w:val="16"/>
              </w:rPr>
              <w:t>No scientific effect</w:t>
            </w:r>
          </w:p>
        </w:tc>
        <w:tc>
          <w:tcPr>
            <w:tcW w:type="dxa" w:w="2484"/>
            <w:vAlign w:val="top"/>
          </w:tcPr>
          <w:p>
            <w:pPr>
              <w:spacing w:after="0"/>
            </w:pPr>
            <w:r>
              <w:rPr>
                <w:sz w:val="16"/>
              </w:rPr>
              <w:t>Declared non-substantive</w:t>
            </w:r>
          </w:p>
        </w:tc>
      </w:tr>
    </w:tbl>
    <w:p>
      <w:pPr>
        <w:pStyle w:val="Heading1"/>
      </w:pPr>
      <w:r>
        <w:t>6. Controlled Synthesis</w:t>
      </w:r>
    </w:p>
    <w:p>
      <w:r>
        <w:t>For future research, specification, simulation, and implementation, Discovery Sprint II shall be summarized by the following controlled statement:</w:t>
      </w:r>
    </w:p>
    <w:p>
      <w:pPr>
        <w:spacing w:before="160" w:after="160"/>
        <w:ind w:left="504" w:right="504"/>
      </w:pPr>
      <w:r>
        <w:rPr>
          <w:b/>
        </w:rPr>
        <w:t>An Enterprise Operation is a bounded, governed, and adaptively recomputed commercial pursuit activated by Enterprise Commitment and directed by Enterprise Intent. It interprets changing Reality through Observation, Evidence, Accepted Business Facts, Enterprise Knowledge, Enterprise State, and Enterprise Context; recognizes and reassesses Enterprise Opportunity; generates, evaluates, and authorizes Candidate Transformations; assembles and orchestrates commercially sufficient Means; executes governed Transformations; separately observes Transformation Completion, Outcome Achievement, Enterprise Value Realization, and Enterprise Value Erosion; and adapts in pursuit of creating, preserving, protecting, exchanging, or realizing Economic Value as interpreted within the operation.</w:t>
      </w:r>
    </w:p>
    <w:p>
      <w:r>
        <w:t>This statement is the strongest current synthesis of the notebook. It remains a Candidate Law and is not promoted by this rider to Canonical Law.</w:t>
      </w:r>
    </w:p>
    <w:p>
      <w:pPr>
        <w:pStyle w:val="Heading1"/>
      </w:pPr>
      <w:r>
        <w:t>7. Research Status After Reconciliation</w:t>
      </w:r>
    </w:p>
    <w:p>
      <w:pPr>
        <w:pStyle w:val="ListBullet"/>
      </w:pPr>
      <w:r>
        <w:t>The scientific method, canonical commodity domain, and falsification posture remain unchanged.</w:t>
      </w:r>
    </w:p>
    <w:p>
      <w:pPr>
        <w:pStyle w:val="ListBullet"/>
      </w:pPr>
      <w:r>
        <w:t>The operational-language kernel recovered in Sprint I remains upstream and untouched.</w:t>
      </w:r>
    </w:p>
    <w:p>
      <w:pPr>
        <w:pStyle w:val="ListBullet"/>
      </w:pPr>
      <w:r>
        <w:t>Purpose, Control, and Economic Value remain governed by Sprint 0.</w:t>
      </w:r>
    </w:p>
    <w:p>
      <w:pPr>
        <w:pStyle w:val="ListBullet"/>
      </w:pPr>
      <w:r>
        <w:t>No new primitive is admitted by this rider.</w:t>
      </w:r>
    </w:p>
    <w:p>
      <w:pPr>
        <w:pStyle w:val="ListBullet"/>
      </w:pPr>
      <w:r>
        <w:t>No Candidate Law is promoted to Canonical Law by this rider.</w:t>
      </w:r>
    </w:p>
    <w:p>
      <w:pPr>
        <w:pStyle w:val="ListBullet"/>
      </w:pPr>
      <w:r>
        <w:t>Discovery Sprint II remains open for validation, but its internal interpretation is now controlled.</w:t>
      </w:r>
    </w:p>
    <w:p>
      <w:pPr>
        <w:pStyle w:val="ListBullet"/>
      </w:pPr>
      <w:r>
        <w:t>Discovery Sprint III may extend the recovered language only after Sprint II reaches the required scientific stability; it may not silently redefine a canonized upstream concept.</w:t>
      </w:r>
    </w:p>
    <w:p>
      <w:pPr>
        <w:pStyle w:val="Heading1"/>
      </w:pPr>
      <w:r>
        <w:t>8. Adoption and Use</w:t>
      </w:r>
    </w:p>
    <w:p>
      <w:pPr>
        <w:pStyle w:val="RiderClause"/>
      </w:pPr>
      <w:r>
        <w:t>Adoption rule</w:t>
      </w:r>
    </w:p>
    <w:p>
      <w:r>
        <w:t>This rider should be stored and circulated with Discovery Sprint II. A reader may rely on the original notebook for the full research history and on this rider for the controlling interpretation of its unresolved deltas.</w:t>
      </w:r>
    </w:p>
    <w:p>
      <w:pPr>
        <w:pStyle w:val="RiderClause"/>
      </w:pPr>
      <w:r>
        <w:t>Citation rule</w:t>
      </w:r>
    </w:p>
    <w:p>
      <w:r>
        <w:t>Where a downstream document relies on a reconciled concept, it should cite both the owning section of Discovery Sprint II and the applicable RC clause in this rider.</w:t>
      </w:r>
    </w:p>
    <w:p>
      <w:pPr>
        <w:pStyle w:val="RiderClause"/>
      </w:pPr>
      <w:r>
        <w:t>Amendment rule</w:t>
      </w:r>
    </w:p>
    <w:p>
      <w:r>
        <w:t>A future amendment may supersede a clause in this rider only by identifying the affected clause, presenting the new commercial evidence or dependency correction, recording any falsification, and stating the revised controlling language.</w:t>
      </w:r>
    </w:p>
    <w:p/>
    <w:p>
      <w:pPr>
        <w:jc w:val="center"/>
      </w:pPr>
      <w:r>
        <w:rPr>
          <w:b/>
          <w:sz w:val="22"/>
        </w:rPr>
        <w:t>END OF DRS-II-RIDER-001</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DRS-II-RIDER-001 | Delta Reconciliation and Interpretive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OriginOS Research Program | Discovery Sprint II | Rider 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derClause">
    <w:name w:val="Rider Clause"/>
    <w:pPr>
      <w:spacing w:before="120" w:after="40"/>
    </w:pPr>
    <w:rPr>
      <w:rFonts w:ascii="Aptos" w:hAnsi="Aptos"/>
      <w:b/>
      <w:sz w:val="21"/>
    </w:rPr>
  </w:style>
  <w:style w:type="paragraph" w:customStyle="1" w:styleId="SmallNote">
    <w:name w:val="Small Note"/>
    <w:pPr>
      <w:spacing w:after="80"/>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