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2C3B64" w14:textId="2F747FE7" w:rsidR="00BF440D" w:rsidRDefault="00B01D95" w:rsidP="00BF440D">
      <w:pPr>
        <w:pStyle w:val="1"/>
        <w:jc w:val="center"/>
      </w:pPr>
      <w:r>
        <w:rPr>
          <w:rFonts w:hint="eastAsia"/>
        </w:rPr>
        <w:t>D</w:t>
      </w:r>
      <w:r>
        <w:t>esign</w:t>
      </w:r>
    </w:p>
    <w:p w14:paraId="235B86D4" w14:textId="27AF5473" w:rsidR="00BF440D" w:rsidRPr="00BF440D" w:rsidRDefault="00BF440D" w:rsidP="00BF440D">
      <w:pPr>
        <w:pStyle w:val="3"/>
      </w:pPr>
      <w:r>
        <w:t>Plasmid</w:t>
      </w:r>
      <w:r w:rsidR="00AE3F88">
        <w:t>s we use</w:t>
      </w:r>
    </w:p>
    <w:p w14:paraId="133C63CF" w14:textId="54A32B3D" w:rsidR="00BF440D" w:rsidRPr="00BF440D" w:rsidRDefault="00BF440D" w:rsidP="00BF440D">
      <w:pPr>
        <w:rPr>
          <w:rFonts w:ascii="Cambria" w:eastAsia="宋体" w:hAnsi="Cambria" w:cs="Times New Roman"/>
          <w:kern w:val="0"/>
          <w:sz w:val="24"/>
          <w:szCs w:val="24"/>
          <w:lang w:eastAsia="en-US"/>
        </w:rPr>
      </w:pPr>
      <w:r w:rsidRPr="00BF440D">
        <w:rPr>
          <w:rFonts w:ascii="Cambria" w:eastAsia="宋体" w:hAnsi="Cambria" w:cs="Times New Roman"/>
          <w:kern w:val="0"/>
          <w:sz w:val="24"/>
          <w:szCs w:val="24"/>
          <w:lang w:eastAsia="en-US"/>
        </w:rPr>
        <w:t xml:space="preserve">As we focus on some typical types of signal pathways which make difference in Eukaryotes, especially in human, we have to find an expression system which can efficiently express Eukaryotes genes inside our </w:t>
      </w:r>
      <w:proofErr w:type="spellStart"/>
      <w:r w:rsidRPr="00BF440D">
        <w:rPr>
          <w:rFonts w:ascii="Cambria" w:eastAsia="宋体" w:hAnsi="Cambria" w:cs="Times New Roman"/>
          <w:kern w:val="0"/>
          <w:sz w:val="24"/>
          <w:szCs w:val="24"/>
          <w:lang w:eastAsia="en-US"/>
        </w:rPr>
        <w:t>saccharomycetes</w:t>
      </w:r>
      <w:proofErr w:type="spellEnd"/>
      <w:r w:rsidRPr="00BF440D">
        <w:rPr>
          <w:rFonts w:ascii="Cambria" w:eastAsia="宋体" w:hAnsi="Cambria" w:cs="Times New Roman"/>
          <w:kern w:val="0"/>
          <w:sz w:val="24"/>
          <w:szCs w:val="24"/>
          <w:lang w:eastAsia="en-US"/>
        </w:rPr>
        <w:t xml:space="preserve">. By scanning previous studies, we find one kind of plasmid which has already been widely used in </w:t>
      </w:r>
      <w:proofErr w:type="spellStart"/>
      <w:proofErr w:type="gramStart"/>
      <w:r w:rsidRPr="00BF440D">
        <w:rPr>
          <w:rFonts w:ascii="Cambria" w:eastAsia="宋体" w:hAnsi="Cambria" w:cs="Times New Roman"/>
          <w:i/>
          <w:kern w:val="0"/>
          <w:sz w:val="24"/>
          <w:szCs w:val="24"/>
          <w:lang w:eastAsia="en-US"/>
        </w:rPr>
        <w:t>P.pastoris</w:t>
      </w:r>
      <w:proofErr w:type="spellEnd"/>
      <w:proofErr w:type="gramEnd"/>
      <w:r w:rsidRPr="00BF440D">
        <w:rPr>
          <w:rFonts w:ascii="Cambria" w:eastAsia="宋体" w:hAnsi="Cambria" w:cs="Times New Roman"/>
          <w:kern w:val="0"/>
          <w:sz w:val="24"/>
          <w:szCs w:val="24"/>
          <w:lang w:eastAsia="en-US"/>
        </w:rPr>
        <w:t xml:space="preserve"> expression systems. It's pPIC9k </w:t>
      </w:r>
      <w:r w:rsidRPr="00BF440D">
        <w:rPr>
          <w:rFonts w:ascii="Cambria" w:eastAsia="宋体" w:hAnsi="Cambria" w:cs="Times New Roman"/>
          <w:kern w:val="0"/>
          <w:sz w:val="24"/>
          <w:szCs w:val="24"/>
          <w:lang w:eastAsia="en-US"/>
        </w:rPr>
        <w:fldChar w:fldCharType="begin"/>
      </w:r>
      <w:r w:rsidRPr="00BF440D">
        <w:rPr>
          <w:rFonts w:ascii="Cambria" w:eastAsia="宋体" w:hAnsi="Cambria" w:cs="Times New Roman"/>
          <w:kern w:val="0"/>
          <w:sz w:val="24"/>
          <w:szCs w:val="24"/>
          <w:lang w:eastAsia="en-US"/>
        </w:rPr>
        <w:instrText xml:space="preserve"> ADDIN ZOTERO_ITEM CSL_CITATION {"citationID":"xg8RlyDU","properties":{"formattedCitation":"(Scorer et al., 1994)","plainCitation":"(Scorer et al., 1994)","noteIndex":0},"citationItems":[{"id":258,"uris":["http://zotero.org/users/6732890/items/GFXBXAMS"],"uri":["http://zotero.org/users/6732890/items/GFXBXAMS"],"itemData":{"id":258,"type":"article-journal","abstract":"Pichia pastoris is a methylotrophic yeast increasingly important in the production of therapeutic proteins. Expression vectors are based on the methanol–inducibte AOX1 promoter and are integrated into the host chromosome. In most cases high copy number integration has been shown to be important for high–level expression. Since this occurs at low frequency during transformation, we previously used DNA dot blot screens to identify suitable clones. In this paper we report the use of vectors containing the Tn903 kanr gene conferring G4I8–resistance. Initial experiments demonstrated that copy number showed a tight correlation with drug–resistance. Using a G418 growth inhibition screen, we readily isolated a series of transforniants, containing progressively increasing numbers (1 to 12) of a vector expressing HIV–1 ENV, which we used to examine the relationship between copy number and foreign mRNA levels. Northern blot analysis indicated that ENV mRNA levels from a single–copy clone were nearly as high as AOX1 mRNA, and increased progressively with increasing copy number so as to greatly exceed AOX1 mRNA. We have also developed protocols for the selection, using G418, of high copy number transformants following spheroplast transformation or electroporation. We anticipate that these protocols will simplify the use of Pichia as a biotechnological tool.","container-title":"Bio/Technology","DOI":"10.1038/nbt0294-181","ISSN":"1546-1696","issue":"2","language":"en","note":"number: 2\npublisher: Nature Publishing Group","page":"181-184","source":"www.nature.com","title":"Rapid Selection Using G418 of High Copy Number Transformants of Pichia pastoris for High–level Foreign Gene Expression","volume":"12","author":[{"family":"Scorer","given":"Carol A."},{"family":"Clare","given":"Jeffrey J."},{"family":"McCombie","given":"Willam R."},{"family":"Romanos","given":"Michael A."},{"family":"Sreekrishna","given":"Koti"}],"issued":{"date-parts":[["1994",2]]}}}],"schema":"https://github.com/citation-style-language/schema/raw/master/csl-citation.json"} </w:instrText>
      </w:r>
      <w:r w:rsidRPr="00BF440D">
        <w:rPr>
          <w:rFonts w:ascii="Cambria" w:eastAsia="宋体" w:hAnsi="Cambria" w:cs="Times New Roman"/>
          <w:kern w:val="0"/>
          <w:sz w:val="24"/>
          <w:szCs w:val="24"/>
          <w:lang w:eastAsia="en-US"/>
        </w:rPr>
        <w:fldChar w:fldCharType="separate"/>
      </w:r>
      <w:r w:rsidR="00FB45FE" w:rsidRPr="00FB45FE">
        <w:rPr>
          <w:rFonts w:ascii="Cambria" w:hAnsi="Cambria"/>
          <w:sz w:val="24"/>
          <w:lang w:eastAsia="en-US"/>
        </w:rPr>
        <w:t>(Scorer et al., 1994)</w:t>
      </w:r>
      <w:r w:rsidRPr="00BF440D">
        <w:rPr>
          <w:rFonts w:ascii="Cambria" w:eastAsia="宋体" w:hAnsi="Cambria" w:cs="Times New Roman"/>
          <w:kern w:val="0"/>
          <w:sz w:val="24"/>
          <w:szCs w:val="24"/>
          <w:lang w:eastAsia="en-US"/>
        </w:rPr>
        <w:fldChar w:fldCharType="end"/>
      </w:r>
      <w:r w:rsidRPr="00BF440D">
        <w:rPr>
          <w:rFonts w:ascii="Cambria" w:eastAsia="宋体" w:hAnsi="Cambria" w:cs="Times New Roman"/>
          <w:kern w:val="0"/>
          <w:sz w:val="24"/>
          <w:szCs w:val="24"/>
          <w:lang w:eastAsia="en-US"/>
        </w:rPr>
        <w:t xml:space="preserve">. Researchers have tried to clone multiple types of eukaryotes genes into this plasmid, such as myostatin </w:t>
      </w:r>
      <w:proofErr w:type="spellStart"/>
      <w:r w:rsidRPr="00BF440D">
        <w:rPr>
          <w:rFonts w:ascii="Cambria" w:eastAsia="宋体" w:hAnsi="Cambria" w:cs="Times New Roman"/>
          <w:kern w:val="0"/>
          <w:sz w:val="24"/>
          <w:szCs w:val="24"/>
          <w:lang w:eastAsia="en-US"/>
        </w:rPr>
        <w:t>propeptide</w:t>
      </w:r>
      <w:proofErr w:type="spellEnd"/>
      <w:r w:rsidRPr="00BF440D">
        <w:rPr>
          <w:rFonts w:ascii="Cambria" w:eastAsia="宋体" w:hAnsi="Cambria" w:cs="Times New Roman"/>
          <w:kern w:val="0"/>
          <w:sz w:val="24"/>
          <w:szCs w:val="24"/>
          <w:lang w:eastAsia="en-US"/>
        </w:rPr>
        <w:t xml:space="preserve"> </w:t>
      </w:r>
      <w:r w:rsidRPr="00BF440D">
        <w:rPr>
          <w:rFonts w:ascii="Cambria" w:eastAsia="宋体" w:hAnsi="Cambria" w:cs="Times New Roman"/>
          <w:kern w:val="0"/>
          <w:sz w:val="24"/>
          <w:szCs w:val="24"/>
          <w:lang w:eastAsia="en-US"/>
        </w:rPr>
        <w:fldChar w:fldCharType="begin"/>
      </w:r>
      <w:r w:rsidRPr="00BF440D">
        <w:rPr>
          <w:rFonts w:ascii="Cambria" w:eastAsia="宋体" w:hAnsi="Cambria" w:cs="Times New Roman"/>
          <w:kern w:val="0"/>
          <w:sz w:val="24"/>
          <w:szCs w:val="24"/>
          <w:lang w:eastAsia="en-US"/>
        </w:rPr>
        <w:instrText xml:space="preserve"> ADDIN ZOTERO_ITEM CSL_CITATION {"citationID":"K6ewoe1q","properties":{"formattedCitation":"(Du et al., 2015)","plainCitation":"(Du et al., 2015)","noteIndex":0},"citationItems":[{"id":259,"uris":["http://zotero.org/users/6732890/items/CKD944G5"],"uri":["http://zotero.org/users/6732890/items/CKD944G5"],"itemData":{"id":259,"type":"article-journal","abstract":"Myostatin propeptide can inhibit the biological activity of myostatin protein and promote muscle growth. To express myostatin propeptide in vitro with a higher biological activity, we performed codon optimization on the sheep myostatin propeptide gene sequence, and mutated aspartic acid-76 to alanine based on the codon usage bias of Pichia pastoris and the enhanced biological activity of myostatin propeptide mutant. Modified myostatin propeptide gene was cloned into the pPIC9K plasmid to form the recombinant plasmid pPIC9K-Msp. Recombinant plasmid pPIC9K-Msp was transformed into Pichia pastoris GS115 by electrotransformation. Transformed cells were screened, and methanol was used to induce expression. SDS-PAGE and western blotting were used to verify the successful expression of myostatin propeptide with biological activity in Pichia pastoris, providing the basis for characterization of this protein.","container-title":"Genetics and Molecular Research","DOI":"10.4238/2015.December.23.29","ISSN":"16765680","issue":"4","journalAbbreviation":"Genet. Mol. Res.","language":"en","page":"18414-18420","source":"DOI.org (Crossref)","title":"Expression of recombinant myostatin propeptide pPIC9K-Msp plasmid in Pichia pastoris","volume":"14","author":[{"family":"Du","given":"W."},{"family":"Xia","given":"J."},{"family":"Zhang","given":"Y."},{"family":"Liu","given":"M.J."},{"family":"Li","given":"H.B."},{"family":"Yan","given":"X.M."},{"family":"Zhang","given":"J.S."},{"family":"Li","given":"N."},{"family":"Zhou","given":"Z.Y."},{"family":"Xie","given":"W.Z."}],"issued":{"date-parts":[["2015"]]}}}],"schema":"https://github.com/citation-style-language/schema/raw/master/csl-citation.json"} </w:instrText>
      </w:r>
      <w:r w:rsidRPr="00BF440D">
        <w:rPr>
          <w:rFonts w:ascii="Cambria" w:eastAsia="宋体" w:hAnsi="Cambria" w:cs="Times New Roman"/>
          <w:kern w:val="0"/>
          <w:sz w:val="24"/>
          <w:szCs w:val="24"/>
          <w:lang w:eastAsia="en-US"/>
        </w:rPr>
        <w:fldChar w:fldCharType="separate"/>
      </w:r>
      <w:r w:rsidR="00FB45FE" w:rsidRPr="00FB45FE">
        <w:rPr>
          <w:rFonts w:ascii="Cambria" w:hAnsi="Cambria"/>
          <w:sz w:val="24"/>
          <w:lang w:eastAsia="en-US"/>
        </w:rPr>
        <w:t>(Du et al., 2015)</w:t>
      </w:r>
      <w:r w:rsidRPr="00BF440D">
        <w:rPr>
          <w:rFonts w:ascii="Cambria" w:eastAsia="宋体" w:hAnsi="Cambria" w:cs="Times New Roman"/>
          <w:kern w:val="0"/>
          <w:sz w:val="24"/>
          <w:szCs w:val="24"/>
          <w:lang w:eastAsia="en-US"/>
        </w:rPr>
        <w:fldChar w:fldCharType="end"/>
      </w:r>
      <w:r w:rsidRPr="00BF440D">
        <w:rPr>
          <w:rFonts w:ascii="Cambria" w:eastAsia="宋体" w:hAnsi="Cambria" w:cs="Times New Roman"/>
          <w:kern w:val="0"/>
          <w:sz w:val="24"/>
          <w:szCs w:val="24"/>
          <w:lang w:eastAsia="en-US"/>
        </w:rPr>
        <w:t xml:space="preserve">, recombinant human-source collagen </w:t>
      </w:r>
      <w:r w:rsidRPr="00BF440D">
        <w:rPr>
          <w:rFonts w:ascii="Cambria" w:eastAsia="宋体" w:hAnsi="Cambria" w:cs="Times New Roman"/>
          <w:kern w:val="0"/>
          <w:sz w:val="24"/>
          <w:szCs w:val="24"/>
          <w:lang w:eastAsia="en-US"/>
        </w:rPr>
        <w:fldChar w:fldCharType="begin"/>
      </w:r>
      <w:r w:rsidRPr="00BF440D">
        <w:rPr>
          <w:rFonts w:ascii="Cambria" w:eastAsia="宋体" w:hAnsi="Cambria" w:cs="Times New Roman"/>
          <w:kern w:val="0"/>
          <w:sz w:val="24"/>
          <w:szCs w:val="24"/>
          <w:lang w:eastAsia="en-US"/>
        </w:rPr>
        <w:instrText xml:space="preserve"> ADDIN ZOTERO_ITEM CSL_CITATION {"citationID":"F6P6n51o","properties":{"formattedCitation":"(\\uc0\\u20399{}\\uc0\\u22686{}\\uc0\\u28156{} et al., 2019)","plainCitation":"(</w:instrText>
      </w:r>
      <w:r w:rsidRPr="00BF440D">
        <w:rPr>
          <w:rFonts w:ascii="Cambria" w:eastAsia="宋体" w:hAnsi="Cambria" w:cs="Times New Roman"/>
          <w:kern w:val="0"/>
          <w:sz w:val="24"/>
          <w:szCs w:val="24"/>
          <w:lang w:eastAsia="en-US"/>
        </w:rPr>
        <w:instrText>侯增淼</w:instrText>
      </w:r>
      <w:r w:rsidRPr="00BF440D">
        <w:rPr>
          <w:rFonts w:ascii="Cambria" w:eastAsia="宋体" w:hAnsi="Cambria" w:cs="Times New Roman"/>
          <w:kern w:val="0"/>
          <w:sz w:val="24"/>
          <w:szCs w:val="24"/>
          <w:lang w:eastAsia="en-US"/>
        </w:rPr>
        <w:instrText xml:space="preserve"> et al., 2019)","noteIndex":0},"citationItems":[{"id":263,"uris":["http://zotero.org/users/6732890/items/2HRMQMRV"],"uri":["http://zotero.org/users/6732890/items/2HRMQMRV"],"itemData":{"id":263,"type":"article-journal","container-title":"</w:instrText>
      </w:r>
      <w:r w:rsidRPr="00BF440D">
        <w:rPr>
          <w:rFonts w:ascii="Cambria" w:eastAsia="宋体" w:hAnsi="Cambria" w:cs="Times New Roman"/>
          <w:kern w:val="0"/>
          <w:sz w:val="24"/>
          <w:szCs w:val="24"/>
          <w:lang w:eastAsia="en-US"/>
        </w:rPr>
        <w:instrText>生物工程学报</w:instrText>
      </w:r>
      <w:r w:rsidRPr="00BF440D">
        <w:rPr>
          <w:rFonts w:ascii="Cambria" w:eastAsia="宋体" w:hAnsi="Cambria" w:cs="Times New Roman"/>
          <w:kern w:val="0"/>
          <w:sz w:val="24"/>
          <w:szCs w:val="24"/>
          <w:lang w:eastAsia="en-US"/>
        </w:rPr>
        <w:instrText>","issue":"2","page":"319-326","source":"journals.im.ac.cn","title":"</w:instrText>
      </w:r>
      <w:r w:rsidRPr="00BF440D">
        <w:rPr>
          <w:rFonts w:ascii="Cambria" w:eastAsia="宋体" w:hAnsi="Cambria" w:cs="Times New Roman"/>
          <w:kern w:val="0"/>
          <w:sz w:val="24"/>
          <w:szCs w:val="24"/>
          <w:lang w:eastAsia="en-US"/>
        </w:rPr>
        <w:instrText>重组人源性胶原蛋白的制备及表征</w:instrText>
      </w:r>
      <w:r w:rsidRPr="00BF440D">
        <w:rPr>
          <w:rFonts w:ascii="Cambria" w:eastAsia="宋体" w:hAnsi="Cambria" w:cs="Times New Roman"/>
          <w:kern w:val="0"/>
          <w:sz w:val="24"/>
          <w:szCs w:val="24"/>
          <w:lang w:eastAsia="en-US"/>
        </w:rPr>
        <w:instrText>","volume":"35","author":[{"family":"</w:instrText>
      </w:r>
      <w:r w:rsidRPr="00BF440D">
        <w:rPr>
          <w:rFonts w:ascii="Cambria" w:eastAsia="宋体" w:hAnsi="Cambria" w:cs="Times New Roman"/>
          <w:kern w:val="0"/>
          <w:sz w:val="24"/>
          <w:szCs w:val="24"/>
          <w:lang w:eastAsia="en-US"/>
        </w:rPr>
        <w:instrText>侯增淼</w:instrText>
      </w:r>
      <w:r w:rsidRPr="00BF440D">
        <w:rPr>
          <w:rFonts w:ascii="Cambria" w:eastAsia="宋体" w:hAnsi="Cambria" w:cs="Times New Roman"/>
          <w:kern w:val="0"/>
          <w:sz w:val="24"/>
          <w:szCs w:val="24"/>
          <w:lang w:eastAsia="en-US"/>
        </w:rPr>
        <w:instrText>","given":""},{"family":"</w:instrText>
      </w:r>
      <w:r w:rsidRPr="00BF440D">
        <w:rPr>
          <w:rFonts w:ascii="Cambria" w:eastAsia="宋体" w:hAnsi="Cambria" w:cs="Times New Roman"/>
          <w:kern w:val="0"/>
          <w:sz w:val="24"/>
          <w:szCs w:val="24"/>
          <w:lang w:eastAsia="en-US"/>
        </w:rPr>
        <w:instrText>李晓颖</w:instrText>
      </w:r>
      <w:r w:rsidRPr="00BF440D">
        <w:rPr>
          <w:rFonts w:ascii="Cambria" w:eastAsia="宋体" w:hAnsi="Cambria" w:cs="Times New Roman"/>
          <w:kern w:val="0"/>
          <w:sz w:val="24"/>
          <w:szCs w:val="24"/>
          <w:lang w:eastAsia="en-US"/>
        </w:rPr>
        <w:instrText>","given":""},{"family":"</w:instrText>
      </w:r>
      <w:r w:rsidRPr="00BF440D">
        <w:rPr>
          <w:rFonts w:ascii="Cambria" w:eastAsia="宋体" w:hAnsi="Cambria" w:cs="Times New Roman"/>
          <w:kern w:val="0"/>
          <w:sz w:val="24"/>
          <w:szCs w:val="24"/>
          <w:lang w:eastAsia="en-US"/>
        </w:rPr>
        <w:instrText>李敏</w:instrText>
      </w:r>
      <w:r w:rsidRPr="00BF440D">
        <w:rPr>
          <w:rFonts w:ascii="Cambria" w:eastAsia="宋体" w:hAnsi="Cambria" w:cs="Times New Roman"/>
          <w:kern w:val="0"/>
          <w:sz w:val="24"/>
          <w:szCs w:val="24"/>
          <w:lang w:eastAsia="en-US"/>
        </w:rPr>
        <w:instrText>","given":""},{"family":"</w:instrText>
      </w:r>
      <w:r w:rsidRPr="00BF440D">
        <w:rPr>
          <w:rFonts w:ascii="Cambria" w:eastAsia="宋体" w:hAnsi="Cambria" w:cs="Times New Roman"/>
          <w:kern w:val="0"/>
          <w:sz w:val="24"/>
          <w:szCs w:val="24"/>
          <w:lang w:eastAsia="en-US"/>
        </w:rPr>
        <w:instrText>杨金芳</w:instrText>
      </w:r>
      <w:r w:rsidRPr="00BF440D">
        <w:rPr>
          <w:rFonts w:ascii="Cambria" w:eastAsia="宋体" w:hAnsi="Cambria" w:cs="Times New Roman"/>
          <w:kern w:val="0"/>
          <w:sz w:val="24"/>
          <w:szCs w:val="24"/>
          <w:lang w:eastAsia="en-US"/>
        </w:rPr>
        <w:instrText>","given":""},{"family":"</w:instrText>
      </w:r>
      <w:r w:rsidRPr="00BF440D">
        <w:rPr>
          <w:rFonts w:ascii="Cambria" w:eastAsia="宋体" w:hAnsi="Cambria" w:cs="Times New Roman"/>
          <w:kern w:val="0"/>
          <w:sz w:val="24"/>
          <w:szCs w:val="24"/>
          <w:lang w:eastAsia="en-US"/>
        </w:rPr>
        <w:instrText>杨小琳</w:instrText>
      </w:r>
      <w:r w:rsidRPr="00BF440D">
        <w:rPr>
          <w:rFonts w:ascii="Cambria" w:eastAsia="宋体" w:hAnsi="Cambria" w:cs="Times New Roman"/>
          <w:kern w:val="0"/>
          <w:sz w:val="24"/>
          <w:szCs w:val="24"/>
          <w:lang w:eastAsia="en-US"/>
        </w:rPr>
        <w:instrText>","given":""},{"family":"</w:instrText>
      </w:r>
      <w:r w:rsidRPr="00BF440D">
        <w:rPr>
          <w:rFonts w:ascii="Cambria" w:eastAsia="宋体" w:hAnsi="Cambria" w:cs="Times New Roman"/>
          <w:kern w:val="0"/>
          <w:sz w:val="24"/>
          <w:szCs w:val="24"/>
          <w:lang w:eastAsia="en-US"/>
        </w:rPr>
        <w:instrText>赵金礼</w:instrText>
      </w:r>
      <w:r w:rsidRPr="00BF440D">
        <w:rPr>
          <w:rFonts w:ascii="Cambria" w:eastAsia="宋体" w:hAnsi="Cambria" w:cs="Times New Roman"/>
          <w:kern w:val="0"/>
          <w:sz w:val="24"/>
          <w:szCs w:val="24"/>
          <w:lang w:eastAsia="en-US"/>
        </w:rPr>
        <w:instrText xml:space="preserve">","given":""},{"family":"Hou","given":"Zengmiao"},{"family":"Li","given":"Xiaoying"},{"family":"Li","given":"Min"},{"family":"Yang","given":"Jinfang"},{"family":"Yang","given":"Xiaolin"},{"family":"Zhao","given":"Jinli"}],"issued":{"date-parts":[["2019",2,25]]}}}],"schema":"https://github.com/citation-style-language/schema/raw/master/csl-citation.json"} </w:instrText>
      </w:r>
      <w:r w:rsidRPr="00BF440D">
        <w:rPr>
          <w:rFonts w:ascii="Cambria" w:eastAsia="宋体" w:hAnsi="Cambria" w:cs="Times New Roman"/>
          <w:kern w:val="0"/>
          <w:sz w:val="24"/>
          <w:szCs w:val="24"/>
          <w:lang w:eastAsia="en-US"/>
        </w:rPr>
        <w:fldChar w:fldCharType="separate"/>
      </w:r>
      <w:r w:rsidR="00FB45FE" w:rsidRPr="00FB45FE">
        <w:rPr>
          <w:rFonts w:ascii="Times New Roman" w:hAnsi="Times New Roman" w:cs="Times New Roman"/>
          <w:kern w:val="0"/>
          <w:sz w:val="24"/>
          <w:szCs w:val="24"/>
        </w:rPr>
        <w:t>(</w:t>
      </w:r>
      <w:r w:rsidR="00FB45FE" w:rsidRPr="00FB45FE">
        <w:rPr>
          <w:rFonts w:ascii="Times New Roman" w:hAnsi="Times New Roman" w:cs="Times New Roman"/>
          <w:kern w:val="0"/>
          <w:sz w:val="24"/>
          <w:szCs w:val="24"/>
        </w:rPr>
        <w:t>侯增淼</w:t>
      </w:r>
      <w:r w:rsidR="00FB45FE" w:rsidRPr="00FB45FE">
        <w:rPr>
          <w:rFonts w:ascii="Times New Roman" w:hAnsi="Times New Roman" w:cs="Times New Roman"/>
          <w:kern w:val="0"/>
          <w:sz w:val="24"/>
          <w:szCs w:val="24"/>
        </w:rPr>
        <w:t xml:space="preserve"> et al., 2019)</w:t>
      </w:r>
      <w:r w:rsidRPr="00BF440D">
        <w:rPr>
          <w:rFonts w:ascii="Cambria" w:eastAsia="宋体" w:hAnsi="Cambria" w:cs="Times New Roman"/>
          <w:kern w:val="0"/>
          <w:sz w:val="24"/>
          <w:szCs w:val="24"/>
          <w:lang w:eastAsia="en-US"/>
        </w:rPr>
        <w:fldChar w:fldCharType="end"/>
      </w:r>
      <w:r w:rsidRPr="00BF440D">
        <w:rPr>
          <w:rFonts w:ascii="Cambria" w:eastAsia="宋体" w:hAnsi="Cambria" w:cs="Times New Roman"/>
          <w:kern w:val="0"/>
          <w:sz w:val="24"/>
          <w:szCs w:val="24"/>
          <w:lang w:eastAsia="en-US"/>
        </w:rPr>
        <w:t>. In all these studies, this system has shown great maneuverability as well as high expression efficiency. Therefore, we decide to use it to express all proteins of the signal pathway.</w:t>
      </w:r>
    </w:p>
    <w:p w14:paraId="0ECDBA78" w14:textId="77777777" w:rsidR="00BF440D" w:rsidRPr="00BF440D" w:rsidRDefault="00BF440D" w:rsidP="00BF440D">
      <w:pPr>
        <w:jc w:val="center"/>
        <w:rPr>
          <w:rFonts w:ascii="Times New Roman" w:hAnsi="Times New Roman" w:cs="Times New Roman"/>
        </w:rPr>
      </w:pPr>
      <w:r w:rsidRPr="00BF440D">
        <w:rPr>
          <w:rFonts w:ascii="Times New Roman" w:hAnsi="Times New Roman" w:cs="Times New Roman"/>
          <w:noProof/>
        </w:rPr>
        <w:drawing>
          <wp:inline distT="0" distB="0" distL="0" distR="0" wp14:anchorId="2CE646B2" wp14:editId="1932D662">
            <wp:extent cx="3483890" cy="265573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488493" cy="2659244"/>
                    </a:xfrm>
                    <a:prstGeom prst="rect">
                      <a:avLst/>
                    </a:prstGeom>
                    <a:noFill/>
                  </pic:spPr>
                </pic:pic>
              </a:graphicData>
            </a:graphic>
          </wp:inline>
        </w:drawing>
      </w:r>
    </w:p>
    <w:p w14:paraId="05773EE7" w14:textId="78B03DC3" w:rsidR="00BF440D" w:rsidRPr="00BF440D" w:rsidRDefault="00BF440D" w:rsidP="00BF440D">
      <w:pPr>
        <w:jc w:val="center"/>
        <w:rPr>
          <w:rFonts w:ascii="Times New Roman" w:hAnsi="Times New Roman" w:cs="Times New Roman"/>
        </w:rPr>
      </w:pPr>
      <w:r w:rsidRPr="00BF440D">
        <w:rPr>
          <w:rFonts w:ascii="Times New Roman" w:hAnsi="Times New Roman" w:cs="Times New Roman"/>
        </w:rPr>
        <w:t>Figure</w:t>
      </w:r>
      <w:r>
        <w:rPr>
          <w:rFonts w:ascii="Times New Roman" w:hAnsi="Times New Roman" w:cs="Times New Roman"/>
        </w:rPr>
        <w:t xml:space="preserve"> </w:t>
      </w:r>
      <w:r w:rsidRPr="00BF440D">
        <w:rPr>
          <w:rFonts w:ascii="Times New Roman" w:hAnsi="Times New Roman" w:cs="Times New Roman"/>
        </w:rPr>
        <w:t>1. The plasmid profile of pPIC9k</w:t>
      </w:r>
    </w:p>
    <w:p w14:paraId="4AB4C4F6" w14:textId="6DB12287" w:rsidR="00BF440D" w:rsidRPr="00BF440D" w:rsidRDefault="00BF440D" w:rsidP="00BF440D">
      <w:pPr>
        <w:rPr>
          <w:rFonts w:ascii="Cambria" w:eastAsia="宋体" w:hAnsi="Cambria" w:cs="Times New Roman"/>
          <w:kern w:val="0"/>
          <w:sz w:val="24"/>
          <w:szCs w:val="24"/>
          <w:lang w:eastAsia="en-US"/>
        </w:rPr>
      </w:pPr>
      <w:r w:rsidRPr="00BF440D">
        <w:rPr>
          <w:rFonts w:ascii="Cambria" w:eastAsia="宋体" w:hAnsi="Cambria" w:cs="Times New Roman"/>
          <w:kern w:val="0"/>
          <w:sz w:val="24"/>
          <w:szCs w:val="24"/>
          <w:lang w:eastAsia="en-US"/>
        </w:rPr>
        <w:t>Besides, our design also contain</w:t>
      </w:r>
      <w:r>
        <w:rPr>
          <w:rFonts w:ascii="Cambria" w:eastAsia="宋体" w:hAnsi="Cambria" w:cs="Times New Roman"/>
          <w:kern w:val="0"/>
          <w:sz w:val="24"/>
          <w:szCs w:val="24"/>
          <w:lang w:eastAsia="en-US"/>
        </w:rPr>
        <w:t>s</w:t>
      </w:r>
      <w:r w:rsidRPr="00BF440D">
        <w:rPr>
          <w:rFonts w:ascii="Cambria" w:eastAsia="宋体" w:hAnsi="Cambria" w:cs="Times New Roman"/>
          <w:kern w:val="0"/>
          <w:sz w:val="24"/>
          <w:szCs w:val="24"/>
          <w:lang w:eastAsia="en-US"/>
        </w:rPr>
        <w:t xml:space="preserve"> some prokaryotic genes to express. These genes play roles in the QS and intercellular communication parts. So we have to find ways to allow prokaryotic genes to be expressed stably inside </w:t>
      </w:r>
      <w:proofErr w:type="spellStart"/>
      <w:proofErr w:type="gramStart"/>
      <w:r w:rsidRPr="00BF440D">
        <w:rPr>
          <w:rFonts w:ascii="Cambria" w:eastAsia="宋体" w:hAnsi="Cambria" w:cs="Times New Roman"/>
          <w:i/>
          <w:kern w:val="0"/>
          <w:sz w:val="24"/>
          <w:szCs w:val="24"/>
          <w:lang w:eastAsia="en-US"/>
        </w:rPr>
        <w:t>P.pastoris</w:t>
      </w:r>
      <w:proofErr w:type="spellEnd"/>
      <w:proofErr w:type="gramEnd"/>
      <w:r w:rsidRPr="00BF440D">
        <w:rPr>
          <w:rFonts w:ascii="Cambria" w:eastAsia="宋体" w:hAnsi="Cambria" w:cs="Times New Roman"/>
          <w:kern w:val="0"/>
          <w:sz w:val="24"/>
          <w:szCs w:val="24"/>
          <w:lang w:eastAsia="en-US"/>
        </w:rPr>
        <w:t xml:space="preserve">. Therefore, we decide to use the most common shuffle plasmid, </w:t>
      </w:r>
      <w:proofErr w:type="spellStart"/>
      <w:r w:rsidRPr="00BF440D">
        <w:rPr>
          <w:rFonts w:ascii="Cambria" w:eastAsia="宋体" w:hAnsi="Cambria" w:cs="Times New Roman"/>
          <w:kern w:val="0"/>
          <w:sz w:val="24"/>
          <w:szCs w:val="24"/>
          <w:lang w:eastAsia="en-US"/>
        </w:rPr>
        <w:t>pCMV</w:t>
      </w:r>
      <w:proofErr w:type="spellEnd"/>
      <w:r w:rsidRPr="00BF440D">
        <w:rPr>
          <w:rFonts w:ascii="Cambria" w:eastAsia="宋体" w:hAnsi="Cambria" w:cs="Times New Roman"/>
          <w:kern w:val="0"/>
          <w:sz w:val="24"/>
          <w:szCs w:val="24"/>
          <w:lang w:eastAsia="en-US"/>
        </w:rPr>
        <w:t xml:space="preserve">-HA. It has already been widely used to allow </w:t>
      </w:r>
      <w:proofErr w:type="gramStart"/>
      <w:r w:rsidRPr="00BF440D">
        <w:rPr>
          <w:rFonts w:ascii="Cambria" w:eastAsia="宋体" w:hAnsi="Cambria" w:cs="Times New Roman"/>
          <w:i/>
          <w:kern w:val="0"/>
          <w:sz w:val="24"/>
          <w:szCs w:val="24"/>
          <w:lang w:eastAsia="en-US"/>
        </w:rPr>
        <w:t>E.coli</w:t>
      </w:r>
      <w:proofErr w:type="gramEnd"/>
      <w:r w:rsidRPr="00BF440D">
        <w:rPr>
          <w:rFonts w:ascii="Cambria" w:eastAsia="宋体" w:hAnsi="Cambria" w:cs="Times New Roman"/>
          <w:kern w:val="0"/>
          <w:sz w:val="24"/>
          <w:szCs w:val="24"/>
          <w:lang w:eastAsia="en-US"/>
        </w:rPr>
        <w:t xml:space="preserve"> genes steadily expressed in yeast and there have already been much mature products in the market.</w:t>
      </w:r>
    </w:p>
    <w:p w14:paraId="13F4EF2E" w14:textId="77777777" w:rsidR="00BF440D" w:rsidRPr="00BF440D" w:rsidRDefault="00BF440D" w:rsidP="00BF440D">
      <w:pPr>
        <w:jc w:val="center"/>
        <w:rPr>
          <w:rFonts w:ascii="Times New Roman" w:hAnsi="Times New Roman" w:cs="Times New Roman"/>
        </w:rPr>
      </w:pPr>
      <w:r w:rsidRPr="00BF440D">
        <w:rPr>
          <w:rFonts w:ascii="Times New Roman" w:hAnsi="Times New Roman" w:cs="Times New Roman"/>
          <w:noProof/>
        </w:rPr>
        <w:lastRenderedPageBreak/>
        <w:drawing>
          <wp:inline distT="0" distB="0" distL="0" distR="0" wp14:anchorId="4E573E86" wp14:editId="04067B1E">
            <wp:extent cx="3665551" cy="2878372"/>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0" name="Picture" descr="C:\Users\54623\AppData\Roaming\Typora\typora-user-images\image-20210210095328230.png"/>
                    <pic:cNvPicPr>
                      <a:picLocks noChangeAspect="1" noChangeArrowheads="1"/>
                    </pic:cNvPicPr>
                  </pic:nvPicPr>
                  <pic:blipFill>
                    <a:blip r:embed="rId7"/>
                    <a:stretch>
                      <a:fillRect/>
                    </a:stretch>
                  </pic:blipFill>
                  <pic:spPr bwMode="auto">
                    <a:xfrm>
                      <a:off x="0" y="0"/>
                      <a:ext cx="3673235" cy="2884406"/>
                    </a:xfrm>
                    <a:prstGeom prst="rect">
                      <a:avLst/>
                    </a:prstGeom>
                    <a:noFill/>
                    <a:ln w="9525">
                      <a:noFill/>
                      <a:headEnd/>
                      <a:tailEnd/>
                    </a:ln>
                  </pic:spPr>
                </pic:pic>
              </a:graphicData>
            </a:graphic>
          </wp:inline>
        </w:drawing>
      </w:r>
    </w:p>
    <w:p w14:paraId="36887B13" w14:textId="1C3E6A70" w:rsidR="00BF440D" w:rsidRPr="00BF440D" w:rsidRDefault="00BF440D" w:rsidP="00BF440D">
      <w:pPr>
        <w:jc w:val="center"/>
        <w:rPr>
          <w:rFonts w:ascii="Times New Roman" w:hAnsi="Times New Roman" w:cs="Times New Roman"/>
        </w:rPr>
      </w:pPr>
      <w:r w:rsidRPr="00BF440D">
        <w:rPr>
          <w:rFonts w:ascii="Times New Roman" w:hAnsi="Times New Roman" w:cs="Times New Roman"/>
        </w:rPr>
        <w:t>Figure</w:t>
      </w:r>
      <w:r>
        <w:rPr>
          <w:rFonts w:ascii="Times New Roman" w:hAnsi="Times New Roman" w:cs="Times New Roman"/>
        </w:rPr>
        <w:t xml:space="preserve"> </w:t>
      </w:r>
      <w:r w:rsidRPr="00BF440D">
        <w:rPr>
          <w:rFonts w:ascii="Times New Roman" w:hAnsi="Times New Roman" w:cs="Times New Roman"/>
        </w:rPr>
        <w:t xml:space="preserve">2. The plasmid profile of </w:t>
      </w:r>
      <w:proofErr w:type="spellStart"/>
      <w:r w:rsidRPr="00BF440D">
        <w:rPr>
          <w:rFonts w:ascii="Times New Roman" w:hAnsi="Times New Roman" w:cs="Times New Roman"/>
        </w:rPr>
        <w:t>pCMV</w:t>
      </w:r>
      <w:proofErr w:type="spellEnd"/>
      <w:r w:rsidRPr="00BF440D">
        <w:rPr>
          <w:rFonts w:ascii="Times New Roman" w:hAnsi="Times New Roman" w:cs="Times New Roman"/>
        </w:rPr>
        <w:t>-HA</w:t>
      </w:r>
    </w:p>
    <w:p w14:paraId="794B9962" w14:textId="77777777" w:rsidR="006E1B77" w:rsidRDefault="006E1B77" w:rsidP="006E1B77"/>
    <w:p w14:paraId="64484720" w14:textId="77777777" w:rsidR="006E1B77" w:rsidRDefault="006E1B77" w:rsidP="006E1B77">
      <w:pPr>
        <w:pStyle w:val="3"/>
      </w:pPr>
      <w:r w:rsidRPr="00B01D95">
        <w:t xml:space="preserve">Intercellular </w:t>
      </w:r>
      <w:r>
        <w:t>signaling</w:t>
      </w:r>
    </w:p>
    <w:p w14:paraId="43DD80A6" w14:textId="15D32758" w:rsidR="006E1B77" w:rsidRDefault="006E1B77" w:rsidP="006E1B77">
      <w:pPr>
        <w:pStyle w:val="4"/>
      </w:pPr>
      <w:r>
        <w:t>The secreting system</w:t>
      </w:r>
    </w:p>
    <w:p w14:paraId="239D3AF8" w14:textId="77777777" w:rsidR="006E1B77" w:rsidRPr="005421E2" w:rsidRDefault="006E1B77" w:rsidP="006E1B77">
      <w:pPr>
        <w:widowControl/>
        <w:spacing w:before="180" w:after="180"/>
        <w:rPr>
          <w:rFonts w:ascii="Cambria" w:eastAsia="宋体" w:hAnsi="Cambria" w:cs="Times New Roman"/>
          <w:kern w:val="0"/>
          <w:sz w:val="24"/>
          <w:szCs w:val="24"/>
          <w:lang w:eastAsia="en-US"/>
        </w:rPr>
      </w:pPr>
      <w:r w:rsidRPr="005421E2">
        <w:rPr>
          <w:rFonts w:ascii="Cambria" w:eastAsia="宋体" w:hAnsi="Cambria" w:cs="Times New Roman"/>
          <w:kern w:val="0"/>
          <w:sz w:val="24"/>
          <w:szCs w:val="24"/>
          <w:lang w:eastAsia="en-US"/>
        </w:rPr>
        <w:t>As We want to allow cells in the chamber be able to secret the proteins in the signal pathways and most signal pathways that we want to discover are common paths which typically expressed in eukaryotes.</w:t>
      </w:r>
    </w:p>
    <w:p w14:paraId="61EC0DB0" w14:textId="29908FC0" w:rsidR="006E1B77" w:rsidRPr="005421E2" w:rsidRDefault="006E1B77" w:rsidP="006E1B77">
      <w:pPr>
        <w:widowControl/>
        <w:spacing w:before="180" w:after="180"/>
        <w:rPr>
          <w:rFonts w:ascii="Cambria" w:eastAsia="宋体" w:hAnsi="Cambria" w:cs="Times New Roman"/>
          <w:kern w:val="0"/>
          <w:sz w:val="24"/>
          <w:szCs w:val="24"/>
          <w:lang w:eastAsia="en-US"/>
        </w:rPr>
      </w:pPr>
      <w:r w:rsidRPr="005421E2">
        <w:rPr>
          <w:rFonts w:ascii="Cambria" w:eastAsia="宋体" w:hAnsi="Cambria" w:cs="Times New Roman"/>
          <w:kern w:val="0"/>
          <w:sz w:val="24"/>
          <w:szCs w:val="24"/>
          <w:lang w:eastAsia="en-US"/>
        </w:rPr>
        <w:t xml:space="preserve">To reach our goal, we want to allow cells in the chamber be able to secret the proteins in the signal pathways. Besides, as most signal pathways that we want to discover are common paths which typically expressed in eukaryotes, we have to choose a suitable way to get all the proteins be produced in a right space structure and well modified. Considering all these needs, we decide to choose </w:t>
      </w:r>
      <w:r w:rsidRPr="005421E2">
        <w:rPr>
          <w:rFonts w:ascii="Cambria" w:eastAsia="宋体" w:hAnsi="Cambria" w:cs="Times New Roman"/>
          <w:i/>
          <w:kern w:val="0"/>
          <w:sz w:val="24"/>
          <w:szCs w:val="24"/>
          <w:lang w:eastAsia="en-US"/>
        </w:rPr>
        <w:t>Pichia pastoris (P. pastoris</w:t>
      </w:r>
      <w:proofErr w:type="gramStart"/>
      <w:r w:rsidRPr="005421E2">
        <w:rPr>
          <w:rFonts w:ascii="Cambria" w:eastAsia="宋体" w:hAnsi="Cambria" w:cs="Times New Roman"/>
          <w:i/>
          <w:kern w:val="0"/>
          <w:sz w:val="24"/>
          <w:szCs w:val="24"/>
          <w:lang w:eastAsia="en-US"/>
        </w:rPr>
        <w:t>)</w:t>
      </w:r>
      <w:r w:rsidRPr="005421E2">
        <w:rPr>
          <w:rFonts w:ascii="Cambria" w:eastAsia="宋体" w:hAnsi="Cambria" w:cs="Times New Roman"/>
          <w:kern w:val="0"/>
          <w:sz w:val="24"/>
          <w:szCs w:val="24"/>
          <w:lang w:eastAsia="en-US"/>
        </w:rPr>
        <w:t xml:space="preserve"> ,</w:t>
      </w:r>
      <w:proofErr w:type="gramEnd"/>
      <w:r w:rsidRPr="005421E2">
        <w:rPr>
          <w:rFonts w:ascii="Cambria" w:eastAsia="宋体" w:hAnsi="Cambria" w:cs="Times New Roman"/>
          <w:kern w:val="0"/>
          <w:sz w:val="24"/>
          <w:szCs w:val="24"/>
          <w:lang w:eastAsia="en-US"/>
        </w:rPr>
        <w:t xml:space="preserve"> a kind of </w:t>
      </w:r>
      <w:proofErr w:type="spellStart"/>
      <w:r w:rsidRPr="005421E2">
        <w:rPr>
          <w:rFonts w:ascii="Cambria" w:eastAsia="宋体" w:hAnsi="Cambria" w:cs="Times New Roman"/>
          <w:kern w:val="0"/>
          <w:sz w:val="24"/>
          <w:szCs w:val="24"/>
          <w:lang w:eastAsia="en-US"/>
        </w:rPr>
        <w:t>saccharomycetes</w:t>
      </w:r>
      <w:proofErr w:type="spellEnd"/>
      <w:r w:rsidRPr="005421E2">
        <w:rPr>
          <w:rFonts w:ascii="Cambria" w:eastAsia="宋体" w:hAnsi="Cambria" w:cs="Times New Roman"/>
          <w:kern w:val="0"/>
          <w:sz w:val="24"/>
          <w:szCs w:val="24"/>
          <w:lang w:eastAsia="en-US"/>
        </w:rPr>
        <w:t xml:space="preserve">, to produce the proteins that we need. This type of </w:t>
      </w:r>
      <w:proofErr w:type="spellStart"/>
      <w:r>
        <w:rPr>
          <w:rFonts w:ascii="Cambria" w:eastAsia="宋体" w:hAnsi="Cambria" w:cs="Times New Roman"/>
          <w:kern w:val="0"/>
          <w:sz w:val="24"/>
          <w:szCs w:val="24"/>
          <w:lang w:eastAsia="en-US"/>
        </w:rPr>
        <w:t>s</w:t>
      </w:r>
      <w:r w:rsidRPr="005421E2">
        <w:rPr>
          <w:rFonts w:ascii="Cambria" w:eastAsia="宋体" w:hAnsi="Cambria" w:cs="Times New Roman"/>
          <w:kern w:val="0"/>
          <w:sz w:val="24"/>
          <w:szCs w:val="24"/>
          <w:lang w:eastAsia="en-US"/>
        </w:rPr>
        <w:t>accharomycetes</w:t>
      </w:r>
      <w:proofErr w:type="spellEnd"/>
      <w:r w:rsidRPr="005421E2">
        <w:rPr>
          <w:rFonts w:ascii="Cambria" w:eastAsia="宋体" w:hAnsi="Cambria" w:cs="Times New Roman"/>
          <w:kern w:val="0"/>
          <w:sz w:val="24"/>
          <w:szCs w:val="24"/>
          <w:lang w:eastAsia="en-US"/>
        </w:rPr>
        <w:t xml:space="preserve"> has already shown great performance on keeping the secreting protein to stay in a right glycosylated modified state and folding leve</w:t>
      </w:r>
      <w:r>
        <w:rPr>
          <w:rFonts w:ascii="Cambria" w:eastAsia="宋体" w:hAnsi="Cambria" w:cs="Times New Roman"/>
          <w:kern w:val="0"/>
          <w:sz w:val="24"/>
          <w:szCs w:val="24"/>
          <w:lang w:eastAsia="en-US"/>
        </w:rPr>
        <w:t xml:space="preserve">l </w:t>
      </w:r>
      <w:r>
        <w:rPr>
          <w:rFonts w:ascii="Cambria" w:eastAsia="宋体" w:hAnsi="Cambria" w:cs="Times New Roman"/>
          <w:kern w:val="0"/>
          <w:sz w:val="24"/>
          <w:szCs w:val="24"/>
          <w:lang w:eastAsia="en-US"/>
        </w:rPr>
        <w:fldChar w:fldCharType="begin"/>
      </w:r>
      <w:r>
        <w:rPr>
          <w:rFonts w:ascii="Cambria" w:eastAsia="宋体" w:hAnsi="Cambria" w:cs="Times New Roman"/>
          <w:kern w:val="0"/>
          <w:sz w:val="24"/>
          <w:szCs w:val="24"/>
          <w:lang w:eastAsia="en-US"/>
        </w:rPr>
        <w:instrText xml:space="preserve"> ADDIN ZOTERO_ITEM CSL_CITATION {"citationID":"HSCU9Cqm","properties":{"formattedCitation":"(Ahmad et al., 2014)","plainCitation":"(Ahmad et al., 2014)","noteIndex":0},"citationItems":[{"id":265,"uris":["http://zotero.org/users/6732890/items/3LDZVN6N"],"uri":["http://zotero.org/users/6732890/items/3LDZVN6N"],"itemData":{"id":265,"type":"article-journal","abstract":"Pichia pastoris is an established protein expression host mainly applied for the production of biopharmaceuticals and industrial enzymes. This methylotrophic yeast is a distinguished production system for its growth to very high cell densities, for the available strong and tightly regulated promoters, and for the options to produce gram amounts of recombinant protein per litre of culture both intracellularly and in secretory fashion. However, not every protein of interest is produced in or secreted by P. pastoris to such high titres. Frequently, protein yields are clearly lower, particularly if complex proteins are expressed that are hetero-oligomers, membrane-attached or prone to proteolytic degradation. The last few years have been particularly fruitful because of numerous activities in improving the expression of such complex proteins with a focus on either protein engineering or on engineering the protein expression host P. pastoris. This review refers to established tools in protein expression in P. pastoris and highlights novel developments in the areas of expression vector design, host strain engineering and screening for high-level expression strains. Breakthroughs in membrane protein expression are discussed alongside numerous commercial applications of P. pastoris derived proteins.","container-title":"Applied Microbiology and Biotechnology","DOI":"10.1007/s00253-014-5732-5","ISSN":"1432-0614","issue":"12","journalAbbreviation":"Appl Microbiol Biotechnol","language":"en","page":"5301-5317","source":"Springer Link","title":"Protein expression in Pichia pastoris: recent achievements and perspectives for heterologous protein production","title-short":"Protein expression in Pichia pastoris","volume":"98","author":[{"family":"Ahmad","given":"Mudassar"},{"family":"Hirz","given":"Melanie"},{"family":"Pichler","given":"Harald"},{"family":"Schwab","given":"Helmut"}],"issued":{"date-parts":[["2014",6,1]]}}}],"schema":"https://github.com/citation-style-language/schema/raw/master/csl-citation.json"} </w:instrText>
      </w:r>
      <w:r>
        <w:rPr>
          <w:rFonts w:ascii="Cambria" w:eastAsia="宋体" w:hAnsi="Cambria" w:cs="Times New Roman"/>
          <w:kern w:val="0"/>
          <w:sz w:val="24"/>
          <w:szCs w:val="24"/>
          <w:lang w:eastAsia="en-US"/>
        </w:rPr>
        <w:fldChar w:fldCharType="separate"/>
      </w:r>
      <w:r w:rsidR="00FB45FE" w:rsidRPr="00FB45FE">
        <w:rPr>
          <w:rFonts w:ascii="Cambria" w:hAnsi="Cambria"/>
          <w:sz w:val="24"/>
        </w:rPr>
        <w:t>(Ahmad et al., 2014)</w:t>
      </w:r>
      <w:r>
        <w:rPr>
          <w:rFonts w:ascii="Cambria" w:eastAsia="宋体" w:hAnsi="Cambria" w:cs="Times New Roman"/>
          <w:kern w:val="0"/>
          <w:sz w:val="24"/>
          <w:szCs w:val="24"/>
          <w:lang w:eastAsia="en-US"/>
        </w:rPr>
        <w:fldChar w:fldCharType="end"/>
      </w:r>
      <w:r w:rsidRPr="005421E2">
        <w:rPr>
          <w:rFonts w:ascii="Cambria" w:eastAsia="宋体" w:hAnsi="Cambria" w:cs="Times New Roman"/>
          <w:kern w:val="0"/>
          <w:sz w:val="24"/>
          <w:szCs w:val="24"/>
          <w:lang w:eastAsia="en-US"/>
        </w:rPr>
        <w:t>.</w:t>
      </w:r>
    </w:p>
    <w:p w14:paraId="37D611B9" w14:textId="77777777" w:rsidR="006E1B77" w:rsidRPr="005421E2" w:rsidRDefault="006E1B77" w:rsidP="006E1B77">
      <w:pPr>
        <w:widowControl/>
        <w:spacing w:before="180" w:after="180"/>
        <w:rPr>
          <w:rFonts w:ascii="Cambria" w:eastAsia="宋体" w:hAnsi="Cambria" w:cs="Times New Roman"/>
          <w:kern w:val="0"/>
          <w:sz w:val="24"/>
          <w:szCs w:val="24"/>
          <w:lang w:eastAsia="en-US"/>
        </w:rPr>
      </w:pPr>
      <w:r w:rsidRPr="005421E2">
        <w:rPr>
          <w:rFonts w:ascii="Cambria" w:eastAsia="宋体" w:hAnsi="Cambria" w:cs="Times New Roman"/>
          <w:kern w:val="0"/>
          <w:sz w:val="24"/>
          <w:szCs w:val="24"/>
          <w:lang w:eastAsia="en-US"/>
        </w:rPr>
        <w:t xml:space="preserve">By transfecting protein-encoded plasmid into it, they gain the ability to synthesize the proteins that we need. Besides, in order to get cells in different chambers be able to communicate with each other, we construct a signal transmission system. </w:t>
      </w:r>
    </w:p>
    <w:p w14:paraId="2A72B88E" w14:textId="2B58D578" w:rsidR="006E1B77" w:rsidRDefault="006E1B77" w:rsidP="006E1B77">
      <w:pPr>
        <w:pStyle w:val="4"/>
      </w:pPr>
      <w:r>
        <w:lastRenderedPageBreak/>
        <w:t>Intercellular communication</w:t>
      </w:r>
    </w:p>
    <w:p w14:paraId="0E1EEAF8" w14:textId="186F43E0" w:rsidR="006E1B77" w:rsidRPr="00160236" w:rsidRDefault="006E1B77" w:rsidP="006E1B77">
      <w:pPr>
        <w:widowControl/>
        <w:spacing w:before="180" w:after="180"/>
        <w:rPr>
          <w:rFonts w:ascii="Cambria" w:eastAsia="宋体" w:hAnsi="Cambria" w:cs="Times New Roman"/>
          <w:kern w:val="0"/>
          <w:sz w:val="24"/>
          <w:szCs w:val="24"/>
          <w:lang w:eastAsia="en-US"/>
        </w:rPr>
      </w:pPr>
      <w:r w:rsidRPr="00160236">
        <w:rPr>
          <w:rFonts w:ascii="Cambria" w:eastAsia="宋体" w:hAnsi="Cambria" w:cs="Times New Roman"/>
          <w:kern w:val="0"/>
          <w:sz w:val="24"/>
          <w:szCs w:val="24"/>
          <w:lang w:eastAsia="en-US"/>
        </w:rPr>
        <w:t xml:space="preserve">As the proteins in signal pathways are typically non-secreting proteins, we decide to use a transfer system to let </w:t>
      </w:r>
      <w:proofErr w:type="gramStart"/>
      <w:r w:rsidRPr="00160236">
        <w:rPr>
          <w:rFonts w:ascii="Cambria" w:eastAsia="宋体" w:hAnsi="Cambria" w:cs="Times New Roman"/>
          <w:kern w:val="0"/>
          <w:sz w:val="24"/>
          <w:szCs w:val="24"/>
          <w:lang w:eastAsia="en-US"/>
        </w:rPr>
        <w:t>it's</w:t>
      </w:r>
      <w:proofErr w:type="gramEnd"/>
      <w:r w:rsidRPr="00160236">
        <w:rPr>
          <w:rFonts w:ascii="Cambria" w:eastAsia="宋体" w:hAnsi="Cambria" w:cs="Times New Roman"/>
          <w:kern w:val="0"/>
          <w:sz w:val="24"/>
          <w:szCs w:val="24"/>
          <w:lang w:eastAsia="en-US"/>
        </w:rPr>
        <w:t xml:space="preserve"> information strength to be passed to the next level of chamber. We try to find possible communication method from some intercellular communication pathways and we finally decide to use AI-2 and CAI-I</w:t>
      </w:r>
      <w:r>
        <w:rPr>
          <w:rFonts w:ascii="Cambria" w:eastAsia="宋体" w:hAnsi="Cambria" w:cs="Times New Roman"/>
          <w:kern w:val="0"/>
          <w:sz w:val="24"/>
          <w:szCs w:val="24"/>
          <w:lang w:eastAsia="en-US"/>
        </w:rPr>
        <w:t xml:space="preserve"> </w:t>
      </w:r>
      <w:r>
        <w:rPr>
          <w:rFonts w:ascii="Cambria" w:eastAsia="宋体" w:hAnsi="Cambria" w:cs="Times New Roman"/>
          <w:kern w:val="0"/>
          <w:sz w:val="24"/>
          <w:szCs w:val="24"/>
          <w:lang w:eastAsia="en-US"/>
        </w:rPr>
        <w:fldChar w:fldCharType="begin"/>
      </w:r>
      <w:r>
        <w:rPr>
          <w:rFonts w:ascii="Cambria" w:eastAsia="宋体" w:hAnsi="Cambria" w:cs="Times New Roman"/>
          <w:kern w:val="0"/>
          <w:sz w:val="24"/>
          <w:szCs w:val="24"/>
          <w:lang w:eastAsia="en-US"/>
        </w:rPr>
        <w:instrText xml:space="preserve"> ADDIN ZOTERO_ITEM CSL_CITATION {"citationID":"z2LXAUCU","properties":{"formattedCitation":"(Ng &amp; Bassler, 2009)","plainCitation":"(Ng &amp; Bassler, 2009)","noteIndex":0},"citationItems":[{"id":274,"uris":["http://zotero.org/users/6732890/items/S4XY4LID"],"uri":["http://zotero.org/users/6732890/items/S4XY4LID"],"itemData":{"id":274,"type":"article-journal","abstract":"Quorum sensing is a cell-cell communication process in which bacteria use the production and detection of extracellular chemicals called autoinducers to monitor cell population density. Quorum sensing allows bacteria to synchronize the gene expression of the group, and thus act in unison. Here, we review the mechanisms involved in quorum sensing with a focus on the Vibrio harveyi and Vibrio cholerae quorum-sensing systems. We discuss the differences between these two quorum-sensing systems and the differences between them and other paradigmatic bacterial signal transduction systems. We argue that the Vibrio quorum-sensing systems are optimally designed to precisely translate extracellular autoinducer information into internal changes in gene expression. We describe how studies of the V. harveyi and V. cholerae quorum-sensing systems have revealed some of the fundamental mechanisms underpinning the evolution of collective behaviors.","container-title":"Annual Review of Genetics","DOI":"10.1146/annurev-genet-102108-134304","ISSN":"0066-4197","issue":"1","journalAbbreviation":"Annu. Rev. Genet.","note":"publisher: Annual Reviews","page":"197-222","source":"annualreviews.org (Atypon)","title":"Bacterial Quorum-Sensing Network Architectures","volume":"43","author":[{"family":"Ng","given":"Wai-Leung"},{"family":"Bassler","given":"Bonnie L."}],"issued":{"date-parts":[["2009",11,17]]}}}],"schema":"https://github.com/citation-style-language/schema/raw/master/csl-citation.json"} </w:instrText>
      </w:r>
      <w:r>
        <w:rPr>
          <w:rFonts w:ascii="Cambria" w:eastAsia="宋体" w:hAnsi="Cambria" w:cs="Times New Roman"/>
          <w:kern w:val="0"/>
          <w:sz w:val="24"/>
          <w:szCs w:val="24"/>
          <w:lang w:eastAsia="en-US"/>
        </w:rPr>
        <w:fldChar w:fldCharType="separate"/>
      </w:r>
      <w:r w:rsidR="00FB45FE" w:rsidRPr="00FB45FE">
        <w:rPr>
          <w:rFonts w:ascii="Cambria" w:hAnsi="Cambria"/>
          <w:sz w:val="24"/>
        </w:rPr>
        <w:t>(Ng &amp; Bassler, 2009)</w:t>
      </w:r>
      <w:r>
        <w:rPr>
          <w:rFonts w:ascii="Cambria" w:eastAsia="宋体" w:hAnsi="Cambria" w:cs="Times New Roman"/>
          <w:kern w:val="0"/>
          <w:sz w:val="24"/>
          <w:szCs w:val="24"/>
          <w:lang w:eastAsia="en-US"/>
        </w:rPr>
        <w:fldChar w:fldCharType="end"/>
      </w:r>
      <w:r w:rsidRPr="00160236">
        <w:rPr>
          <w:rFonts w:ascii="Cambria" w:eastAsia="宋体" w:hAnsi="Cambria" w:cs="Times New Roman"/>
          <w:kern w:val="0"/>
          <w:sz w:val="24"/>
          <w:szCs w:val="24"/>
          <w:lang w:eastAsia="en-US"/>
        </w:rPr>
        <w:t xml:space="preserve">. The reason why we use two types of signal pathways is that we don't want the signal molecules secreted by cells in adjacent chambers will interrupt with each other. </w:t>
      </w:r>
      <w:proofErr w:type="gramStart"/>
      <w:r w:rsidRPr="00160236">
        <w:rPr>
          <w:rFonts w:ascii="Cambria" w:eastAsia="宋体" w:hAnsi="Cambria" w:cs="Times New Roman"/>
          <w:kern w:val="0"/>
          <w:sz w:val="24"/>
          <w:szCs w:val="24"/>
          <w:lang w:eastAsia="en-US"/>
        </w:rPr>
        <w:t>So</w:t>
      </w:r>
      <w:proofErr w:type="gramEnd"/>
      <w:r w:rsidRPr="00160236">
        <w:rPr>
          <w:rFonts w:ascii="Cambria" w:eastAsia="宋体" w:hAnsi="Cambria" w:cs="Times New Roman"/>
          <w:kern w:val="0"/>
          <w:sz w:val="24"/>
          <w:szCs w:val="24"/>
          <w:lang w:eastAsia="en-US"/>
        </w:rPr>
        <w:t xml:space="preserve"> we let one level of chamber has the ability to get the signal from the prior level and secret a different signal molecule to the next.</w:t>
      </w:r>
    </w:p>
    <w:p w14:paraId="5328D53B" w14:textId="3AF217CC" w:rsidR="006E1B77" w:rsidRPr="00160236" w:rsidRDefault="006E1B77" w:rsidP="006E1B77">
      <w:pPr>
        <w:widowControl/>
        <w:spacing w:before="180" w:after="180"/>
        <w:rPr>
          <w:rFonts w:ascii="Cambria" w:eastAsia="宋体" w:hAnsi="Cambria" w:cs="Times New Roman"/>
          <w:kern w:val="0"/>
          <w:sz w:val="24"/>
          <w:szCs w:val="24"/>
          <w:lang w:eastAsia="en-US"/>
        </w:rPr>
      </w:pPr>
      <w:r w:rsidRPr="00160236">
        <w:rPr>
          <w:rFonts w:ascii="Cambria" w:eastAsia="宋体" w:hAnsi="Cambria" w:cs="Times New Roman"/>
          <w:kern w:val="0"/>
          <w:sz w:val="24"/>
          <w:szCs w:val="24"/>
          <w:lang w:eastAsia="en-US"/>
        </w:rPr>
        <w:t xml:space="preserve">As for AI-2 signal pathway, it's detected by sensor kinases </w:t>
      </w:r>
      <w:proofErr w:type="spellStart"/>
      <w:r w:rsidRPr="00160236">
        <w:rPr>
          <w:rFonts w:ascii="Cambria" w:eastAsia="宋体" w:hAnsi="Cambria" w:cs="Times New Roman"/>
          <w:kern w:val="0"/>
          <w:sz w:val="24"/>
          <w:szCs w:val="24"/>
          <w:lang w:eastAsia="en-US"/>
        </w:rPr>
        <w:t>CqsS</w:t>
      </w:r>
      <w:proofErr w:type="spellEnd"/>
      <w:r>
        <w:rPr>
          <w:rFonts w:ascii="Cambria" w:eastAsia="宋体" w:hAnsi="Cambria" w:cs="Times New Roman"/>
          <w:kern w:val="0"/>
          <w:sz w:val="24"/>
          <w:szCs w:val="24"/>
          <w:lang w:eastAsia="en-US"/>
        </w:rPr>
        <w:t xml:space="preserve"> </w:t>
      </w:r>
      <w:r>
        <w:rPr>
          <w:rFonts w:ascii="Cambria" w:eastAsia="宋体" w:hAnsi="Cambria" w:cs="Times New Roman"/>
          <w:kern w:val="0"/>
          <w:sz w:val="24"/>
          <w:szCs w:val="24"/>
          <w:lang w:eastAsia="en-US"/>
        </w:rPr>
        <w:fldChar w:fldCharType="begin"/>
      </w:r>
      <w:r>
        <w:rPr>
          <w:rFonts w:ascii="Cambria" w:eastAsia="宋体" w:hAnsi="Cambria" w:cs="Times New Roman"/>
          <w:kern w:val="0"/>
          <w:sz w:val="24"/>
          <w:szCs w:val="24"/>
          <w:lang w:eastAsia="en-US"/>
        </w:rPr>
        <w:instrText xml:space="preserve"> ADDIN ZOTERO_ITEM CSL_CITATION {"citationID":"zahpf2W7","properties":{"formattedCitation":"(Schauder et al., 2001)","plainCitation":"(Schauder et al., 2001)","noteIndex":0},"citationItems":[{"id":273,"uris":["http://zotero.org/users/6732890/items/V9YE3WH4"],"uri":["http://zotero.org/users/6732890/items/V9YE3WH4"],"itemData":{"id":273,"type":"article-journal","abstract":"Many bacteria control gene expression in response to cell population density, and this phenomenon is called quorum sensing. In Gram-negative bacteria, quorum sensing typically involves the production, release and detection of acylated homoserine lactone signalling molecules called autoinducers. Vibrio harveyi, a Gram-negative bioluminescent marine bacterium, regulates light production in response to two distinct autoinducers (AI-1 and AI-2). AI-1 is a homoserine lactone. The structure of AI-2 is not known. We have suggested previously that V. harveyi uses AI-1 for intraspecies communication and AI-2 for interspecies communication. Consistent with this idea, we have shown that many species of Gram-negative and Gram-positive bacteria produce AI-2 and, in every case, production of AI-2 is dependent on the function encoded by the luxS gene. We show here that LuxS is the AI-2 synthase and that AI-2 is produced from S-adenosylmethionine in three enzymatic steps. The substrate for LuxS is S-ribosylhomocysteine, which is cleaved to form two products, one of which is homocysteine, and the other is AI-2. In this report, we also provide evidence that the biosynthetic pathway and biochemical intermediates in AI-2 biosynthesis are identical in Escherichia coli, Salmonella typhimurium, V. harveyi, Vibrio cholerae and Enterococcus faecalis. This result suggests that, unlike quorum sensing via the family of related homoserine lactone autoinducers, AI-2 is a unique, ‘universal’ signal that could be used by a variety of bacteria for communication among and between species.","container-title":"Molecular Microbiology","DOI":"https://doi.org/10.1046/j.1365-2958.2001.02532.x","ISSN":"1365-2958","issue":"2","language":"en","note":"_eprint: https://onlinelibrary.wiley.com/doi/pdf/10.1046/j.1365-2958.2001.02532.x","page":"463-476","source":"Wiley Online Library","title":"The LuxS family of bacterial autoinducers: biosynthesis of a novel quorum-sensing signal molecule","title-short":"The LuxS family of bacterial autoinducers","volume":"41","author":[{"family":"Schauder","given":"Stephan"},{"family":"Shokat","given":"Kevan"},{"family":"Surette","given":"Michael G."},{"family":"Bassler","given":"Bonnie L."}],"issued":{"date-parts":[["2001"]]}}}],"schema":"https://github.com/citation-style-language/schema/raw/master/csl-citation.json"} </w:instrText>
      </w:r>
      <w:r>
        <w:rPr>
          <w:rFonts w:ascii="Cambria" w:eastAsia="宋体" w:hAnsi="Cambria" w:cs="Times New Roman"/>
          <w:kern w:val="0"/>
          <w:sz w:val="24"/>
          <w:szCs w:val="24"/>
          <w:lang w:eastAsia="en-US"/>
        </w:rPr>
        <w:fldChar w:fldCharType="separate"/>
      </w:r>
      <w:r w:rsidR="00FB45FE" w:rsidRPr="00FB45FE">
        <w:rPr>
          <w:rFonts w:ascii="Cambria" w:hAnsi="Cambria"/>
          <w:sz w:val="24"/>
        </w:rPr>
        <w:t>(</w:t>
      </w:r>
      <w:proofErr w:type="spellStart"/>
      <w:r w:rsidR="00FB45FE" w:rsidRPr="00FB45FE">
        <w:rPr>
          <w:rFonts w:ascii="Cambria" w:hAnsi="Cambria"/>
          <w:sz w:val="24"/>
        </w:rPr>
        <w:t>Schauder</w:t>
      </w:r>
      <w:proofErr w:type="spellEnd"/>
      <w:r w:rsidR="00FB45FE" w:rsidRPr="00FB45FE">
        <w:rPr>
          <w:rFonts w:ascii="Cambria" w:hAnsi="Cambria"/>
          <w:sz w:val="24"/>
        </w:rPr>
        <w:t xml:space="preserve"> et al., 2001)</w:t>
      </w:r>
      <w:r>
        <w:rPr>
          <w:rFonts w:ascii="Cambria" w:eastAsia="宋体" w:hAnsi="Cambria" w:cs="Times New Roman"/>
          <w:kern w:val="0"/>
          <w:sz w:val="24"/>
          <w:szCs w:val="24"/>
          <w:lang w:eastAsia="en-US"/>
        </w:rPr>
        <w:fldChar w:fldCharType="end"/>
      </w:r>
      <w:r w:rsidRPr="00160236">
        <w:rPr>
          <w:rFonts w:ascii="Cambria" w:eastAsia="宋体" w:hAnsi="Cambria" w:cs="Times New Roman"/>
          <w:kern w:val="0"/>
          <w:sz w:val="24"/>
          <w:szCs w:val="24"/>
          <w:lang w:eastAsia="en-US"/>
        </w:rPr>
        <w:t xml:space="preserve">. When they combined with each other, it will trigger the </w:t>
      </w:r>
      <w:proofErr w:type="spellStart"/>
      <w:r w:rsidRPr="00160236">
        <w:rPr>
          <w:rFonts w:ascii="Cambria" w:eastAsia="宋体" w:hAnsi="Cambria" w:cs="Times New Roman"/>
          <w:kern w:val="0"/>
          <w:sz w:val="24"/>
          <w:szCs w:val="24"/>
          <w:lang w:eastAsia="en-US"/>
        </w:rPr>
        <w:t>pLuxU</w:t>
      </w:r>
      <w:proofErr w:type="spellEnd"/>
      <w:r w:rsidRPr="00160236">
        <w:rPr>
          <w:rFonts w:ascii="Cambria" w:eastAsia="宋体" w:hAnsi="Cambria" w:cs="Times New Roman"/>
          <w:kern w:val="0"/>
          <w:sz w:val="24"/>
          <w:szCs w:val="24"/>
          <w:lang w:eastAsia="en-US"/>
        </w:rPr>
        <w:t xml:space="preserve"> to express the protein</w:t>
      </w:r>
      <w:r>
        <w:rPr>
          <w:rFonts w:ascii="Cambria" w:eastAsia="宋体" w:hAnsi="Cambria" w:cs="Times New Roman"/>
          <w:kern w:val="0"/>
          <w:sz w:val="24"/>
          <w:szCs w:val="24"/>
          <w:lang w:eastAsia="en-US"/>
        </w:rPr>
        <w:t xml:space="preserve"> </w:t>
      </w:r>
      <w:r>
        <w:rPr>
          <w:rFonts w:ascii="Cambria" w:eastAsia="宋体" w:hAnsi="Cambria" w:cs="Times New Roman"/>
          <w:kern w:val="0"/>
          <w:sz w:val="24"/>
          <w:szCs w:val="24"/>
          <w:lang w:eastAsia="en-US"/>
        </w:rPr>
        <w:fldChar w:fldCharType="begin"/>
      </w:r>
      <w:r>
        <w:rPr>
          <w:rFonts w:ascii="Cambria" w:eastAsia="宋体" w:hAnsi="Cambria" w:cs="Times New Roman"/>
          <w:kern w:val="0"/>
          <w:sz w:val="24"/>
          <w:szCs w:val="24"/>
          <w:lang w:eastAsia="en-US"/>
        </w:rPr>
        <w:instrText xml:space="preserve"> ADDIN ZOTERO_ITEM CSL_CITATION {"citationID":"7jR69GQK","properties":{"formattedCitation":"(Chen et al., 2002)","plainCitation":"(Chen et al., 2002)","noteIndex":0},"citationItems":[{"id":277,"uris":["http://zotero.org/users/6732890/items/LLPLAZIA"],"uri":["http://zotero.org/users/6732890/items/LLPLAZIA"],"itemData":{"id":277,"type":"article-journal","abstract":"Cell–cell communication in bacteria is accomplished through the exchange of extracellular signalling molecules called autoinducers. This process, termed quorum sensing, allows bacterial populations to coordinate gene expression. Community cooperation probably enhances the effectiveness of processes such as bioluminescence, virulence factor expression, antibiotic production and biofilm development1,2,3,4. Unlike other autoinducers, which are specific to a particular species of bacteria, a recently discovered autoinducer (AI-2)5 is produced by a large number of bacterial species. AI-2 has been proposed to serve as a ‘universal’ signal for inter-species communication1,2,6,7. The chemical identity of AI-2 has, however, proved elusive. Here we present the crystal structure of an AI-2 sensor protein, LuxP, in a complex with autoinducer. The bound ligand is a furanosyl borate diester that bears no resemblance to previously characterized autoinducers. Our findings suggest that addition of naturally occurring borate to an AI-2 precursor generates active AI-2. Furthermore, they indicate a potential biological role for boron, an element required by a number of organisms but for unknown reasons.","container-title":"Nature","DOI":"10.1038/415545a","ISSN":"1476-4687","issue":"6871","language":"en","note":"number: 6871\npublisher: Nature Publishing Group","page":"545-549","source":"www.nature.com","title":"Structural identification of a bacterial quorum-sensing signal containing boron","volume":"415","author":[{"family":"Chen","given":"Xin"},{"family":"Schauder","given":"Stephan"},{"family":"Potier","given":"Noelle"},{"family":"Van Dorsselaer","given":"Alain"},{"family":"Pelczer","given":"István"},{"family":"Bassler","given":"Bonnie L."},{"family":"Hughson","given":"Frederick M."}],"issued":{"date-parts":[["2002",1]]}}}],"schema":"https://github.com/citation-style-language/schema/raw/master/csl-citation.json"} </w:instrText>
      </w:r>
      <w:r>
        <w:rPr>
          <w:rFonts w:ascii="Cambria" w:eastAsia="宋体" w:hAnsi="Cambria" w:cs="Times New Roman"/>
          <w:kern w:val="0"/>
          <w:sz w:val="24"/>
          <w:szCs w:val="24"/>
          <w:lang w:eastAsia="en-US"/>
        </w:rPr>
        <w:fldChar w:fldCharType="separate"/>
      </w:r>
      <w:r w:rsidR="00FB45FE" w:rsidRPr="00FB45FE">
        <w:rPr>
          <w:rFonts w:ascii="Cambria" w:hAnsi="Cambria"/>
          <w:sz w:val="24"/>
        </w:rPr>
        <w:t>(Chen et al., 2002)</w:t>
      </w:r>
      <w:r>
        <w:rPr>
          <w:rFonts w:ascii="Cambria" w:eastAsia="宋体" w:hAnsi="Cambria" w:cs="Times New Roman"/>
          <w:kern w:val="0"/>
          <w:sz w:val="24"/>
          <w:szCs w:val="24"/>
          <w:lang w:eastAsia="en-US"/>
        </w:rPr>
        <w:fldChar w:fldCharType="end"/>
      </w:r>
      <w:r w:rsidRPr="00160236">
        <w:rPr>
          <w:rFonts w:ascii="Cambria" w:eastAsia="宋体" w:hAnsi="Cambria" w:cs="Times New Roman"/>
          <w:kern w:val="0"/>
          <w:sz w:val="24"/>
          <w:szCs w:val="24"/>
          <w:lang w:eastAsia="en-US"/>
        </w:rPr>
        <w:t>. As for CAI-I signal pathway works similar to AI-2 signal pathway. It's detected by sensor kinase Lux-Q</w:t>
      </w:r>
      <w:r>
        <w:rPr>
          <w:rFonts w:ascii="Cambria" w:eastAsia="宋体" w:hAnsi="Cambria" w:cs="Times New Roman"/>
          <w:kern w:val="0"/>
          <w:sz w:val="24"/>
          <w:szCs w:val="24"/>
          <w:lang w:eastAsia="en-US"/>
        </w:rPr>
        <w:t xml:space="preserve"> </w:t>
      </w:r>
      <w:r>
        <w:rPr>
          <w:rFonts w:ascii="Cambria" w:eastAsia="宋体" w:hAnsi="Cambria" w:cs="Times New Roman"/>
          <w:kern w:val="0"/>
          <w:sz w:val="24"/>
          <w:szCs w:val="24"/>
          <w:lang w:eastAsia="en-US"/>
        </w:rPr>
        <w:fldChar w:fldCharType="begin"/>
      </w:r>
      <w:r>
        <w:rPr>
          <w:rFonts w:ascii="Cambria" w:eastAsia="宋体" w:hAnsi="Cambria" w:cs="Times New Roman"/>
          <w:kern w:val="0"/>
          <w:sz w:val="24"/>
          <w:szCs w:val="24"/>
          <w:lang w:eastAsia="en-US"/>
        </w:rPr>
        <w:instrText xml:space="preserve"> ADDIN ZOTERO_ITEM CSL_CITATION {"citationID":"OYIf7win","properties":{"formattedCitation":"(Miller et al., 2002)","plainCitation":"(Miller et al., 2002)","noteIndex":0},"citationItems":[{"id":282,"uris":["http://zotero.org/users/6732890/items/GEYYVLWE"],"uri":["http://zotero.org/users/6732890/items/GEYYVLWE"],"itemData":{"id":282,"type":"article-journal","container-title":"Cell","DOI":"10.1016/S0092-8674(02)00829-2","ISSN":"0092-8674, 1097-4172","issue":"3","journalAbbreviation":"Cell","language":"English","note":"publisher: Elsevier\nPMID: 12176318","page":"303-314","source":"www.cell.com","title":"Parallel Quorum Sensing Systems Converge to Regulate Virulence in Vibrio cholerae","volume":"110","author":[{"family":"Miller","given":"Melissa B."},{"family":"Skorupski","given":"Karen"},{"family":"Lenz","given":"Derrick H."},{"family":"Taylor","given":"Ronald K."},{"family":"Bassler","given":"Bonnie L."}],"issued":{"date-parts":[["2002",8,9]]}}}],"schema":"https://github.com/citation-style-language/schema/raw/master/csl-citation.json"} </w:instrText>
      </w:r>
      <w:r>
        <w:rPr>
          <w:rFonts w:ascii="Cambria" w:eastAsia="宋体" w:hAnsi="Cambria" w:cs="Times New Roman"/>
          <w:kern w:val="0"/>
          <w:sz w:val="24"/>
          <w:szCs w:val="24"/>
          <w:lang w:eastAsia="en-US"/>
        </w:rPr>
        <w:fldChar w:fldCharType="separate"/>
      </w:r>
      <w:r w:rsidR="00FB45FE" w:rsidRPr="00FB45FE">
        <w:rPr>
          <w:rFonts w:ascii="Cambria" w:hAnsi="Cambria"/>
          <w:sz w:val="24"/>
        </w:rPr>
        <w:t>(Miller et al., 2002)</w:t>
      </w:r>
      <w:r>
        <w:rPr>
          <w:rFonts w:ascii="Cambria" w:eastAsia="宋体" w:hAnsi="Cambria" w:cs="Times New Roman"/>
          <w:kern w:val="0"/>
          <w:sz w:val="24"/>
          <w:szCs w:val="24"/>
          <w:lang w:eastAsia="en-US"/>
        </w:rPr>
        <w:fldChar w:fldCharType="end"/>
      </w:r>
      <w:r w:rsidRPr="00160236">
        <w:rPr>
          <w:rFonts w:ascii="Cambria" w:eastAsia="宋体" w:hAnsi="Cambria" w:cs="Times New Roman"/>
          <w:kern w:val="0"/>
          <w:sz w:val="24"/>
          <w:szCs w:val="24"/>
          <w:lang w:eastAsia="en-US"/>
        </w:rPr>
        <w:t>. By using specific transcriptional regulatory factors, we make it come true to let the signal transfer from the original signal pathway to an intercellular communication way.</w:t>
      </w:r>
    </w:p>
    <w:p w14:paraId="6089078E" w14:textId="77777777" w:rsidR="006E1B77" w:rsidRPr="00160236" w:rsidRDefault="006E1B77" w:rsidP="006E1B77">
      <w:pPr>
        <w:widowControl/>
        <w:spacing w:before="180" w:after="180"/>
        <w:jc w:val="left"/>
        <w:rPr>
          <w:rFonts w:ascii="Cambria" w:eastAsia="宋体" w:hAnsi="Cambria" w:cs="Times New Roman"/>
          <w:kern w:val="0"/>
          <w:sz w:val="24"/>
          <w:szCs w:val="24"/>
          <w:lang w:eastAsia="en-US"/>
        </w:rPr>
      </w:pPr>
    </w:p>
    <w:p w14:paraId="03F3CB99" w14:textId="77777777" w:rsidR="006E1B77" w:rsidRPr="00160236" w:rsidRDefault="006E1B77" w:rsidP="006E1B77">
      <w:pPr>
        <w:keepNext/>
        <w:widowControl/>
        <w:spacing w:after="200"/>
        <w:jc w:val="left"/>
        <w:rPr>
          <w:rFonts w:ascii="Cambria" w:eastAsia="宋体" w:hAnsi="Cambria" w:cs="Times New Roman"/>
          <w:kern w:val="0"/>
          <w:sz w:val="24"/>
          <w:szCs w:val="24"/>
          <w:lang w:eastAsia="en-US"/>
        </w:rPr>
      </w:pPr>
      <w:r w:rsidRPr="00160236">
        <w:rPr>
          <w:rFonts w:ascii="Cambria" w:eastAsia="宋体" w:hAnsi="Cambria" w:cs="Times New Roman"/>
          <w:noProof/>
          <w:kern w:val="0"/>
          <w:sz w:val="24"/>
          <w:szCs w:val="24"/>
          <w:lang w:eastAsia="en-US"/>
        </w:rPr>
        <w:drawing>
          <wp:inline distT="0" distB="0" distL="0" distR="0" wp14:anchorId="60B1E734" wp14:editId="23FFA05E">
            <wp:extent cx="5334000" cy="249407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C:\Users\54623\AppData\Roaming\Typora\typora-user-images\image-20210210140159361.png"/>
                    <pic:cNvPicPr>
                      <a:picLocks noChangeAspect="1" noChangeArrowheads="1"/>
                    </pic:cNvPicPr>
                  </pic:nvPicPr>
                  <pic:blipFill>
                    <a:blip r:embed="rId8"/>
                    <a:stretch>
                      <a:fillRect/>
                    </a:stretch>
                  </pic:blipFill>
                  <pic:spPr bwMode="auto">
                    <a:xfrm>
                      <a:off x="0" y="0"/>
                      <a:ext cx="5334000" cy="2494071"/>
                    </a:xfrm>
                    <a:prstGeom prst="rect">
                      <a:avLst/>
                    </a:prstGeom>
                    <a:noFill/>
                    <a:ln w="9525">
                      <a:noFill/>
                      <a:headEnd/>
                      <a:tailEnd/>
                    </a:ln>
                  </pic:spPr>
                </pic:pic>
              </a:graphicData>
            </a:graphic>
          </wp:inline>
        </w:drawing>
      </w:r>
    </w:p>
    <w:p w14:paraId="3AD66D78" w14:textId="77777777" w:rsidR="006E1B77" w:rsidRPr="00160236" w:rsidRDefault="006E1B77" w:rsidP="006E1B77">
      <w:pPr>
        <w:widowControl/>
        <w:spacing w:after="120"/>
        <w:jc w:val="left"/>
        <w:rPr>
          <w:rFonts w:ascii="Cambria" w:eastAsia="宋体" w:hAnsi="Cambria" w:cs="Times New Roman"/>
          <w:i/>
          <w:kern w:val="0"/>
          <w:sz w:val="24"/>
          <w:szCs w:val="24"/>
          <w:lang w:eastAsia="en-US"/>
        </w:rPr>
      </w:pPr>
    </w:p>
    <w:p w14:paraId="4F3279F9" w14:textId="125862B3" w:rsidR="006E1B77" w:rsidRPr="00160236" w:rsidRDefault="006E1B77" w:rsidP="006E1B77">
      <w:pPr>
        <w:widowControl/>
        <w:spacing w:before="180" w:after="180"/>
        <w:jc w:val="left"/>
        <w:rPr>
          <w:rFonts w:ascii="Cambria" w:eastAsia="宋体" w:hAnsi="Cambria" w:cs="Times New Roman"/>
          <w:kern w:val="0"/>
          <w:sz w:val="24"/>
          <w:szCs w:val="24"/>
          <w:lang w:eastAsia="en-US"/>
        </w:rPr>
      </w:pPr>
      <w:r w:rsidRPr="00160236">
        <w:rPr>
          <w:rFonts w:ascii="Cambria" w:eastAsia="宋体" w:hAnsi="Cambria" w:cs="Times New Roman"/>
          <w:kern w:val="0"/>
          <w:sz w:val="24"/>
          <w:szCs w:val="24"/>
          <w:lang w:eastAsia="en-US"/>
        </w:rPr>
        <w:t>Figure</w:t>
      </w:r>
      <w:r w:rsidR="00B7013F">
        <w:rPr>
          <w:rFonts w:ascii="Cambria" w:eastAsia="宋体" w:hAnsi="Cambria" w:cs="Times New Roman"/>
          <w:kern w:val="0"/>
          <w:sz w:val="24"/>
          <w:szCs w:val="24"/>
          <w:lang w:eastAsia="en-US"/>
        </w:rPr>
        <w:t xml:space="preserve"> </w:t>
      </w:r>
      <w:r w:rsidR="00BF440D">
        <w:rPr>
          <w:rFonts w:ascii="Cambria" w:eastAsia="宋体" w:hAnsi="Cambria" w:cs="Times New Roman"/>
          <w:kern w:val="0"/>
          <w:sz w:val="24"/>
          <w:szCs w:val="24"/>
          <w:lang w:eastAsia="en-US"/>
        </w:rPr>
        <w:t>3</w:t>
      </w:r>
      <w:r w:rsidRPr="00160236">
        <w:rPr>
          <w:rFonts w:ascii="Cambria" w:eastAsia="宋体" w:hAnsi="Cambria" w:cs="Times New Roman"/>
          <w:kern w:val="0"/>
          <w:sz w:val="24"/>
          <w:szCs w:val="24"/>
          <w:lang w:eastAsia="en-US"/>
        </w:rPr>
        <w:t>. AI-2 pathway. Left: the first level chamber. Right: the next level chamber; X protein means the protein which is in the signal pathway that we want to simulate. X is expressed inside the present chamber. X+1 protein means the protein which on the next level of X protein in the signal pathway. X+1 protein is expressed inside the next chamber.</w:t>
      </w:r>
    </w:p>
    <w:p w14:paraId="5E7E1614" w14:textId="77777777" w:rsidR="006E1B77" w:rsidRPr="00160236" w:rsidRDefault="006E1B77" w:rsidP="006E1B77">
      <w:pPr>
        <w:keepNext/>
        <w:widowControl/>
        <w:spacing w:after="200"/>
        <w:jc w:val="left"/>
        <w:rPr>
          <w:rFonts w:ascii="Cambria" w:eastAsia="宋体" w:hAnsi="Cambria" w:cs="Times New Roman"/>
          <w:kern w:val="0"/>
          <w:sz w:val="24"/>
          <w:szCs w:val="24"/>
          <w:lang w:eastAsia="en-US"/>
        </w:rPr>
      </w:pPr>
      <w:r w:rsidRPr="00160236">
        <w:rPr>
          <w:rFonts w:ascii="Cambria" w:eastAsia="宋体" w:hAnsi="Cambria" w:cs="Times New Roman"/>
          <w:noProof/>
          <w:kern w:val="0"/>
          <w:sz w:val="24"/>
          <w:szCs w:val="24"/>
          <w:lang w:eastAsia="en-US"/>
        </w:rPr>
        <w:lastRenderedPageBreak/>
        <w:drawing>
          <wp:inline distT="0" distB="0" distL="0" distR="0" wp14:anchorId="20B7F95D" wp14:editId="4CE615A3">
            <wp:extent cx="5334000" cy="2455618"/>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C:\Users\54623\AppData\Roaming\Typora\typora-user-images\image-20210210140148698.png"/>
                    <pic:cNvPicPr>
                      <a:picLocks noChangeAspect="1" noChangeArrowheads="1"/>
                    </pic:cNvPicPr>
                  </pic:nvPicPr>
                  <pic:blipFill>
                    <a:blip r:embed="rId9"/>
                    <a:stretch>
                      <a:fillRect/>
                    </a:stretch>
                  </pic:blipFill>
                  <pic:spPr bwMode="auto">
                    <a:xfrm>
                      <a:off x="0" y="0"/>
                      <a:ext cx="5334000" cy="2455618"/>
                    </a:xfrm>
                    <a:prstGeom prst="rect">
                      <a:avLst/>
                    </a:prstGeom>
                    <a:noFill/>
                    <a:ln w="9525">
                      <a:noFill/>
                      <a:headEnd/>
                      <a:tailEnd/>
                    </a:ln>
                  </pic:spPr>
                </pic:pic>
              </a:graphicData>
            </a:graphic>
          </wp:inline>
        </w:drawing>
      </w:r>
    </w:p>
    <w:p w14:paraId="2621E831" w14:textId="77777777" w:rsidR="006E1B77" w:rsidRPr="00160236" w:rsidRDefault="006E1B77" w:rsidP="006E1B77">
      <w:pPr>
        <w:widowControl/>
        <w:spacing w:after="120"/>
        <w:jc w:val="left"/>
        <w:rPr>
          <w:rFonts w:ascii="Cambria" w:eastAsia="宋体" w:hAnsi="Cambria" w:cs="Times New Roman"/>
          <w:i/>
          <w:kern w:val="0"/>
          <w:sz w:val="24"/>
          <w:szCs w:val="24"/>
          <w:lang w:eastAsia="en-US"/>
        </w:rPr>
      </w:pPr>
    </w:p>
    <w:p w14:paraId="7DD55AFE" w14:textId="660614C9" w:rsidR="006E1B77" w:rsidRPr="00160236" w:rsidRDefault="006E1B77" w:rsidP="006E1B77">
      <w:pPr>
        <w:widowControl/>
        <w:spacing w:before="180" w:after="180"/>
        <w:jc w:val="left"/>
        <w:rPr>
          <w:rFonts w:ascii="Cambria" w:eastAsia="宋体" w:hAnsi="Cambria" w:cs="Times New Roman"/>
          <w:kern w:val="0"/>
          <w:sz w:val="24"/>
          <w:szCs w:val="24"/>
          <w:lang w:eastAsia="en-US"/>
        </w:rPr>
      </w:pPr>
      <w:r w:rsidRPr="00160236">
        <w:rPr>
          <w:rFonts w:ascii="Cambria" w:eastAsia="宋体" w:hAnsi="Cambria" w:cs="Times New Roman"/>
          <w:kern w:val="0"/>
          <w:sz w:val="24"/>
          <w:szCs w:val="24"/>
          <w:lang w:eastAsia="en-US"/>
        </w:rPr>
        <w:t>Figure</w:t>
      </w:r>
      <w:r w:rsidR="00B7013F">
        <w:rPr>
          <w:rFonts w:ascii="Cambria" w:eastAsia="宋体" w:hAnsi="Cambria" w:cs="Times New Roman"/>
          <w:kern w:val="0"/>
          <w:sz w:val="24"/>
          <w:szCs w:val="24"/>
          <w:lang w:eastAsia="en-US"/>
        </w:rPr>
        <w:t xml:space="preserve"> </w:t>
      </w:r>
      <w:r w:rsidR="00BF440D">
        <w:rPr>
          <w:rFonts w:ascii="Cambria" w:eastAsia="宋体" w:hAnsi="Cambria" w:cs="Times New Roman"/>
          <w:kern w:val="0"/>
          <w:sz w:val="24"/>
          <w:szCs w:val="24"/>
          <w:lang w:eastAsia="en-US"/>
        </w:rPr>
        <w:t>4</w:t>
      </w:r>
      <w:r w:rsidRPr="00160236">
        <w:rPr>
          <w:rFonts w:ascii="Cambria" w:eastAsia="宋体" w:hAnsi="Cambria" w:cs="Times New Roman"/>
          <w:kern w:val="0"/>
          <w:sz w:val="24"/>
          <w:szCs w:val="24"/>
          <w:lang w:eastAsia="en-US"/>
        </w:rPr>
        <w:t>. CAI-I pathway. Left: the first level chamber. Right: the next level chamber</w:t>
      </w:r>
    </w:p>
    <w:p w14:paraId="7D10AF24" w14:textId="77777777" w:rsidR="006E1B77" w:rsidRPr="00160236" w:rsidRDefault="006E1B77" w:rsidP="006E1B77"/>
    <w:p w14:paraId="041BF570" w14:textId="6AD3AD42" w:rsidR="006E1B77" w:rsidRDefault="006E1B77" w:rsidP="006E1B77">
      <w:pPr>
        <w:pStyle w:val="3"/>
      </w:pPr>
      <w:r w:rsidRPr="006B4613">
        <w:t>Integrated signaling pathway modules</w:t>
      </w:r>
      <w:r>
        <w:t xml:space="preserve"> in each </w:t>
      </w:r>
      <w:r w:rsidR="00AE3F88">
        <w:t>chamber</w:t>
      </w:r>
    </w:p>
    <w:p w14:paraId="3FA378D1" w14:textId="77777777" w:rsidR="006E1B77" w:rsidRPr="00BF440D" w:rsidRDefault="006E1B77" w:rsidP="006E1B77">
      <w:pPr>
        <w:rPr>
          <w:rFonts w:ascii="Cambria" w:eastAsia="宋体" w:hAnsi="Cambria" w:cs="Times New Roman"/>
          <w:kern w:val="0"/>
          <w:sz w:val="24"/>
          <w:szCs w:val="24"/>
          <w:lang w:eastAsia="en-US"/>
        </w:rPr>
      </w:pPr>
      <w:r w:rsidRPr="006D6A51">
        <w:rPr>
          <w:rFonts w:ascii="Cambria" w:eastAsia="宋体" w:hAnsi="Cambria" w:cs="Times New Roman"/>
          <w:kern w:val="0"/>
          <w:sz w:val="24"/>
          <w:szCs w:val="24"/>
          <w:lang w:eastAsia="en-US"/>
        </w:rPr>
        <w:t>To enable the biologists to build intercellular synthetic biology circuits, we proposed an signaling pathway system. This is a toolkit includes a series of cells with integrated signaling pathway modules. Each cell has two or three layers that are used for information processing. These are input, hidden, and output layer (Fig. 1).</w:t>
      </w:r>
    </w:p>
    <w:p w14:paraId="7D5ECD6D" w14:textId="77777777" w:rsidR="006E1B77" w:rsidRDefault="006E1B77" w:rsidP="006E1B77">
      <w:pPr>
        <w:rPr>
          <w:rFonts w:asciiTheme="majorHAnsi" w:hAnsiTheme="majorHAnsi" w:cs="Arial"/>
          <w:color w:val="222222"/>
          <w:shd w:val="clear" w:color="auto" w:fill="FFFFFF"/>
        </w:rPr>
      </w:pPr>
      <w:r>
        <w:rPr>
          <w:noProof/>
        </w:rPr>
        <w:drawing>
          <wp:inline distT="0" distB="0" distL="0" distR="0" wp14:anchorId="31D8F88A" wp14:editId="6BC3964E">
            <wp:extent cx="5274310" cy="245427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454275"/>
                    </a:xfrm>
                    <a:prstGeom prst="rect">
                      <a:avLst/>
                    </a:prstGeom>
                  </pic:spPr>
                </pic:pic>
              </a:graphicData>
            </a:graphic>
          </wp:inline>
        </w:drawing>
      </w:r>
    </w:p>
    <w:p w14:paraId="38FBD731" w14:textId="28496CF2" w:rsidR="006E1B77" w:rsidRPr="00BF440D" w:rsidRDefault="006E1B77" w:rsidP="006E1B77">
      <w:pPr>
        <w:rPr>
          <w:rFonts w:ascii="Cambria" w:eastAsia="宋体" w:hAnsi="Cambria" w:cs="Times New Roman"/>
          <w:kern w:val="0"/>
          <w:sz w:val="24"/>
          <w:szCs w:val="24"/>
          <w:lang w:eastAsia="en-US"/>
        </w:rPr>
      </w:pPr>
      <w:r w:rsidRPr="00BF440D">
        <w:rPr>
          <w:rFonts w:ascii="Times New Roman" w:hAnsi="Times New Roman" w:cs="Times New Roman" w:hint="eastAsia"/>
        </w:rPr>
        <w:t>Figure</w:t>
      </w:r>
      <w:r w:rsidRPr="00BF440D">
        <w:rPr>
          <w:rFonts w:ascii="Times New Roman" w:hAnsi="Times New Roman" w:cs="Times New Roman"/>
        </w:rPr>
        <w:t xml:space="preserve"> </w:t>
      </w:r>
      <w:r w:rsidR="00BF440D" w:rsidRPr="00BF440D">
        <w:rPr>
          <w:rFonts w:ascii="Times New Roman" w:hAnsi="Times New Roman" w:cs="Times New Roman"/>
        </w:rPr>
        <w:t>5</w:t>
      </w:r>
      <w:r w:rsidRPr="00BF440D">
        <w:rPr>
          <w:rFonts w:ascii="Times New Roman" w:hAnsi="Times New Roman" w:cs="Times New Roman"/>
        </w:rPr>
        <w:t>. Construction of a signaling pathway system.</w:t>
      </w:r>
    </w:p>
    <w:p w14:paraId="307B51BC" w14:textId="77777777" w:rsidR="006E1B77" w:rsidRPr="006D6A51" w:rsidRDefault="006E1B77" w:rsidP="006E1B77">
      <w:pPr>
        <w:rPr>
          <w:rFonts w:ascii="Cambria" w:eastAsia="宋体" w:hAnsi="Cambria" w:cs="Arial"/>
          <w:color w:val="222222"/>
          <w:shd w:val="clear" w:color="auto" w:fill="FFFFFF"/>
        </w:rPr>
      </w:pPr>
    </w:p>
    <w:p w14:paraId="05FB7876" w14:textId="77777777" w:rsidR="006E1B77" w:rsidRPr="006D6A51" w:rsidRDefault="006E1B77" w:rsidP="006E1B77">
      <w:pPr>
        <w:rPr>
          <w:rFonts w:ascii="Cambria" w:eastAsia="宋体" w:hAnsi="Cambria" w:cs="Times New Roman"/>
          <w:b/>
          <w:kern w:val="0"/>
          <w:sz w:val="24"/>
          <w:szCs w:val="24"/>
          <w:lang w:eastAsia="en-US"/>
        </w:rPr>
      </w:pPr>
      <w:r w:rsidRPr="006D6A51">
        <w:rPr>
          <w:rFonts w:ascii="Cambria" w:eastAsia="宋体" w:hAnsi="Cambria" w:cs="Times New Roman"/>
          <w:b/>
          <w:kern w:val="0"/>
          <w:sz w:val="24"/>
          <w:szCs w:val="24"/>
          <w:lang w:eastAsia="en-US"/>
        </w:rPr>
        <w:t>Input layer</w:t>
      </w:r>
    </w:p>
    <w:p w14:paraId="1B48EE35" w14:textId="6FE0D4F3" w:rsidR="006E1B77" w:rsidRPr="006D6A51" w:rsidRDefault="006E1B77" w:rsidP="006E1B77">
      <w:pPr>
        <w:rPr>
          <w:rFonts w:ascii="Cambria" w:eastAsia="宋体" w:hAnsi="Cambria" w:cs="Times New Roman"/>
          <w:kern w:val="0"/>
          <w:sz w:val="24"/>
          <w:szCs w:val="24"/>
          <w:lang w:eastAsia="en-US"/>
        </w:rPr>
      </w:pPr>
      <w:r w:rsidRPr="006D6A51">
        <w:rPr>
          <w:rFonts w:ascii="Cambria" w:eastAsia="宋体" w:hAnsi="Cambria" w:cs="Times New Roman"/>
          <w:kern w:val="0"/>
          <w:sz w:val="24"/>
          <w:szCs w:val="24"/>
          <w:lang w:eastAsia="en-US"/>
        </w:rPr>
        <w:t xml:space="preserve">The input layer enables a cell to sense the environmental signals using customized </w:t>
      </w:r>
      <w:r w:rsidRPr="006D6A51">
        <w:rPr>
          <w:rFonts w:ascii="Cambria" w:eastAsia="宋体" w:hAnsi="Cambria" w:cs="Times New Roman"/>
          <w:kern w:val="0"/>
          <w:sz w:val="24"/>
          <w:szCs w:val="24"/>
          <w:lang w:eastAsia="en-US"/>
        </w:rPr>
        <w:lastRenderedPageBreak/>
        <w:t>signal pathways. The signals can be autoinducers, antigens, and changes of the physical environment. Like a common signaling pathway, the input layer includes the receptors, kinases, transcription factors, and promotors. For example, Krawczyk et al.</w:t>
      </w:r>
      <w:r w:rsidRPr="00BF440D">
        <w:rPr>
          <w:rFonts w:ascii="Cambria" w:eastAsia="宋体" w:hAnsi="Cambria" w:cs="Times New Roman"/>
          <w:kern w:val="0"/>
          <w:sz w:val="24"/>
          <w:szCs w:val="24"/>
          <w:lang w:eastAsia="en-US"/>
        </w:rPr>
        <w:t xml:space="preserve"> </w:t>
      </w:r>
      <w:r w:rsidRPr="00BF440D">
        <w:rPr>
          <w:rFonts w:ascii="Cambria" w:eastAsia="宋体" w:hAnsi="Cambria" w:cs="Times New Roman"/>
          <w:kern w:val="0"/>
          <w:sz w:val="24"/>
          <w:szCs w:val="24"/>
          <w:lang w:eastAsia="en-US"/>
        </w:rPr>
        <w:fldChar w:fldCharType="begin"/>
      </w:r>
      <w:r w:rsidRPr="00BF440D">
        <w:rPr>
          <w:rFonts w:ascii="Cambria" w:eastAsia="宋体" w:hAnsi="Cambria" w:cs="Times New Roman"/>
          <w:kern w:val="0"/>
          <w:sz w:val="24"/>
          <w:szCs w:val="24"/>
          <w:lang w:eastAsia="en-US"/>
        </w:rPr>
        <w:instrText xml:space="preserve"> ADDIN ZOTERO_ITEM CSL_CITATION {"citationID":"v3y5tYPC","properties":{"formattedCitation":"(Krawczyk et al., 2020)","plainCitation":"(Krawczyk et al., 2020)","noteIndex":0},"citationItems":[{"id":253,"uris":["http://zotero.org/users/6732890/items/ZL6YALHT"],"uri":["http://zotero.org/users/6732890/items/ZL6YALHT"],"itemData":{"id":253,"type":"article-journal","abstract":"Electronic control of designer cells\nThere is increasing interest in using designer cells to produce or deliver therapeutics. Achieving direct communication between such cells and electronic devices would allow precise control of therapies. Krawczyk et al. describe a bioelectronic interface that uses wireless-powered electrical stimulation of cells to promote the release of insulin (see the Perspective by Brier and Dordick). The authors engineered human β cells to respond to membrane depolarization by rapidly releasing insulin from intracellular storage vesicles. A bioelectronic device that incorporates the cells can be wirelessly triggered by an external field generator. When subcutaneously implanted in type 1 diabetic mice, the device could be triggered to restore normal blood glucose levels.\nScience, this issue p. 993; see also p. 936\nSophisticated devices for remote-controlled medical interventions require an electrogenetic interface that uses digital electronic input to directly program cellular behavior. We present a cofactor-free bioelectronic interface that directly links wireless-powered electrical stimulation of human cells to either synthetic promoter–driven transgene expression or rapid secretion of constitutively expressed protein therapeutics from vesicular stores. Electrogenetic control was achieved by coupling ectopic expression of the L-type voltage-gated channel CaV1.2 and the inwardly rectifying potassium channel Kir2.1 to the desired output through endogenous calcium signaling. Focusing on type 1 diabetes, we engineered electrosensitive human β cells (Electroβ cells). Wireless electrical stimulation of Electroβ cells inside a custom-built bioelectronic device provided real-time control of vesicular insulin release; insulin levels peaked within 10 minutes. When subcutaneously implanted, this electrotriggered vesicular release system restored normoglycemia in type 1 diabetic mice.\nElectrically stimulated insulin expression and electrostimulated insulin release can be used for next-generation diabetes therapy.\nElectrically stimulated insulin expression and electrostimulated insulin release can be used for next-generation diabetes therapy.","container-title":"Science","DOI":"10.1126/science.aau7187","ISSN":"0036-8075, 1095-9203","issue":"6494","language":"en","note":"publisher: American Association for the Advancement of Science\nsection: Research Article\nPMID: 32467389","page":"993-1001","source":"science.sciencemag.org","title":"Electrogenetic cellular insulin release for real-time glycemic control in type 1 diabetic mice","volume":"368","author":[{"family":"Krawczyk","given":"Krzysztof"},{"family":"Xue","given":"Shuai"},{"family":"Buchmann","given":"Peter"},{"family":"Charpin-El-Hamri","given":"Ghislaine"},{"family":"Saxena","given":"Pratik"},{"family":"Hussherr","given":"Marie-Didiée"},{"family":"Shao","given":"Jiawei"},{"family":"Ye","given":"Haifeng"},{"family":"Xie","given":"Mingqi"},{"family":"Fussenegger","given":"Martin"}],"issued":{"date-parts":[["2020",5,29]]}}}],"schema":"https://github.com/citation-style-language/schema/raw/master/csl-citation.json"} </w:instrText>
      </w:r>
      <w:r w:rsidRPr="00BF440D">
        <w:rPr>
          <w:rFonts w:ascii="Cambria" w:eastAsia="宋体" w:hAnsi="Cambria" w:cs="Times New Roman"/>
          <w:kern w:val="0"/>
          <w:sz w:val="24"/>
          <w:szCs w:val="24"/>
          <w:lang w:eastAsia="en-US"/>
        </w:rPr>
        <w:fldChar w:fldCharType="separate"/>
      </w:r>
      <w:r w:rsidR="00FB45FE" w:rsidRPr="00FB45FE">
        <w:rPr>
          <w:rFonts w:ascii="Cambria" w:hAnsi="Cambria"/>
          <w:sz w:val="24"/>
          <w:lang w:eastAsia="en-US"/>
        </w:rPr>
        <w:t>(Krawczyk et al., 2020)</w:t>
      </w:r>
      <w:r w:rsidRPr="00BF440D">
        <w:rPr>
          <w:rFonts w:ascii="Cambria" w:eastAsia="宋体" w:hAnsi="Cambria" w:cs="Times New Roman"/>
          <w:kern w:val="0"/>
          <w:sz w:val="24"/>
          <w:szCs w:val="24"/>
          <w:lang w:eastAsia="en-US"/>
        </w:rPr>
        <w:fldChar w:fldCharType="end"/>
      </w:r>
      <w:r w:rsidRPr="006D6A51">
        <w:rPr>
          <w:rFonts w:ascii="Cambria" w:eastAsia="宋体" w:hAnsi="Cambria" w:cs="Times New Roman"/>
          <w:kern w:val="0"/>
          <w:sz w:val="24"/>
          <w:szCs w:val="24"/>
          <w:lang w:eastAsia="en-US"/>
        </w:rPr>
        <w:t xml:space="preserve"> proposed an </w:t>
      </w:r>
      <w:proofErr w:type="spellStart"/>
      <w:r w:rsidRPr="006D6A51">
        <w:rPr>
          <w:rFonts w:ascii="Cambria" w:eastAsia="宋体" w:hAnsi="Cambria" w:cs="Times New Roman"/>
          <w:kern w:val="0"/>
          <w:sz w:val="24"/>
          <w:szCs w:val="24"/>
          <w:lang w:eastAsia="en-US"/>
        </w:rPr>
        <w:t>electrogenetic</w:t>
      </w:r>
      <w:proofErr w:type="spellEnd"/>
      <w:r w:rsidRPr="006D6A51">
        <w:rPr>
          <w:rFonts w:ascii="Cambria" w:eastAsia="宋体" w:hAnsi="Cambria" w:cs="Times New Roman"/>
          <w:kern w:val="0"/>
          <w:sz w:val="24"/>
          <w:szCs w:val="24"/>
          <w:lang w:eastAsia="en-US"/>
        </w:rPr>
        <w:t xml:space="preserve"> interface that used digital electronic input to program cellular behavior. They described a signal pathway with a voltage-gated channel CaV1,2 (receptor), NFAT (kinase), and PNFAT3 (promotor). Similarly, </w:t>
      </w:r>
      <w:proofErr w:type="spellStart"/>
      <w:r w:rsidRPr="006D6A51">
        <w:rPr>
          <w:rFonts w:ascii="Cambria" w:eastAsia="宋体" w:hAnsi="Cambria" w:cs="Times New Roman"/>
          <w:kern w:val="0"/>
          <w:sz w:val="24"/>
          <w:szCs w:val="24"/>
          <w:lang w:eastAsia="en-US"/>
        </w:rPr>
        <w:t>Aurand</w:t>
      </w:r>
      <w:proofErr w:type="spellEnd"/>
      <w:r w:rsidRPr="006D6A51">
        <w:rPr>
          <w:rFonts w:ascii="Cambria" w:eastAsia="宋体" w:hAnsi="Cambria" w:cs="Times New Roman"/>
          <w:kern w:val="0"/>
          <w:sz w:val="24"/>
          <w:szCs w:val="24"/>
          <w:lang w:eastAsia="en-US"/>
        </w:rPr>
        <w:t xml:space="preserve"> and March designed a biological sensor that can react to cytokine</w:t>
      </w:r>
      <w:r w:rsidRPr="00BF440D">
        <w:rPr>
          <w:rFonts w:ascii="Cambria" w:eastAsia="宋体" w:hAnsi="Cambria" w:cs="Times New Roman"/>
          <w:kern w:val="0"/>
          <w:sz w:val="24"/>
          <w:szCs w:val="24"/>
          <w:lang w:eastAsia="en-US"/>
        </w:rPr>
        <w:t xml:space="preserve"> </w:t>
      </w:r>
      <w:r w:rsidRPr="00BF440D">
        <w:rPr>
          <w:rFonts w:ascii="Cambria" w:eastAsia="宋体" w:hAnsi="Cambria" w:cs="Times New Roman"/>
          <w:kern w:val="0"/>
          <w:sz w:val="24"/>
          <w:szCs w:val="24"/>
          <w:lang w:eastAsia="en-US"/>
        </w:rPr>
        <w:fldChar w:fldCharType="begin"/>
      </w:r>
      <w:r w:rsidRPr="00BF440D">
        <w:rPr>
          <w:rFonts w:ascii="Cambria" w:eastAsia="宋体" w:hAnsi="Cambria" w:cs="Times New Roman"/>
          <w:kern w:val="0"/>
          <w:sz w:val="24"/>
          <w:szCs w:val="24"/>
          <w:lang w:eastAsia="en-US"/>
        </w:rPr>
        <w:instrText xml:space="preserve"> ADDIN ZOTERO_ITEM CSL_CITATION {"citationID":"XpRsI1Pf","properties":{"formattedCitation":"(Aurand &amp; March, 2016)","plainCitation":"(Aurand &amp; March, 2016)","noteIndex":0},"citationItems":[{"id":251,"uris":["http://zotero.org/users/6732890/items/2UD699NA"],"uri":["http://zotero.org/users/6732890/items/2UD699NA"],"itemData":{"id":251,"type":"article-journal","abstract":"Intestinal inflammation has been implicated in a number of diseases, including diabetes, Crohn's disease, and irritable bowel syndrome. Important components of inflammation are interferon-γ (IFN-γ) and tumor necrosis factor-α (TNF-α), which are elevated both on the luminal and submucosal sides of the intestinal epithelial barrier in several diseases. Here, we developed a novel Escherichia coli based detection system for IFN-γ and TNF-α comprised of a chimeric protein and a simple signal transduction construct, which could be deployed on the luminal side of the intestine. OmpA of E. coli was engineered to detect IFN-γ or TNF-α through the replacement of extracellular loops with peptide fragments from OprF of P. aeruginosa. OmpA/OprF chimeras were developed, capable of binding IFN-γ or TNF-α. The specific peptide fragments that bind IFN-γ were identified. IFN-γ or TNF-α binding the OmpA/OprF chimera induced the pspA promoter, driving β-galactosidase production. The OmpA/OprF chimera had a detection limit of 300 pM for IFN-γ and 150 pM for TNF-α. This work will further the development of bacteria based therapeutics for the treatment of inflammatory diseases of the gut. Biotechnol. Bioeng. 2016;113: 492–500. © 2015 Wiley Periodicals, Inc.","container-title":"Biotechnology and Bioengineering","DOI":"https://doi.org/10.1002/bit.25832","ISSN":"1097-0290","issue":"3","language":"en","note":"_eprint: https://onlinelibrary.wiley.com/doi/pdf/10.1002/bit.25832","page":"492-500","source":"Wiley Online Library","title":"Development of a synthetic receptor protein for sensing inflammatory mediators interferon-γ and tumor necrosis factor-α","volume":"113","author":[{"family":"Aurand","given":"T. Christopher"},{"family":"March","given":"John C."}],"issued":{"date-parts":[["2016"]]}}}],"schema":"https://github.com/citation-style-language/schema/raw/master/csl-citation.json"} </w:instrText>
      </w:r>
      <w:r w:rsidRPr="00BF440D">
        <w:rPr>
          <w:rFonts w:ascii="Cambria" w:eastAsia="宋体" w:hAnsi="Cambria" w:cs="Times New Roman"/>
          <w:kern w:val="0"/>
          <w:sz w:val="24"/>
          <w:szCs w:val="24"/>
          <w:lang w:eastAsia="en-US"/>
        </w:rPr>
        <w:fldChar w:fldCharType="separate"/>
      </w:r>
      <w:r w:rsidR="00FB45FE" w:rsidRPr="00FB45FE">
        <w:rPr>
          <w:rFonts w:ascii="Cambria" w:hAnsi="Cambria"/>
          <w:sz w:val="24"/>
          <w:lang w:eastAsia="en-US"/>
        </w:rPr>
        <w:t>(Aurand &amp; March, 2016)</w:t>
      </w:r>
      <w:r w:rsidRPr="00BF440D">
        <w:rPr>
          <w:rFonts w:ascii="Cambria" w:eastAsia="宋体" w:hAnsi="Cambria" w:cs="Times New Roman"/>
          <w:kern w:val="0"/>
          <w:sz w:val="24"/>
          <w:szCs w:val="24"/>
          <w:lang w:eastAsia="en-US"/>
        </w:rPr>
        <w:fldChar w:fldCharType="end"/>
      </w:r>
      <w:r w:rsidRPr="006D6A51">
        <w:rPr>
          <w:rFonts w:ascii="Cambria" w:eastAsia="宋体" w:hAnsi="Cambria" w:cs="Times New Roman"/>
          <w:kern w:val="0"/>
          <w:sz w:val="24"/>
          <w:szCs w:val="24"/>
          <w:lang w:eastAsia="en-US"/>
        </w:rPr>
        <w:t xml:space="preserve">. Some synthetic circuits can even react to UV </w:t>
      </w:r>
      <w:r w:rsidRPr="00BF440D">
        <w:rPr>
          <w:rFonts w:ascii="Cambria" w:eastAsia="宋体" w:hAnsi="Cambria" w:cs="Times New Roman"/>
          <w:kern w:val="0"/>
          <w:sz w:val="24"/>
          <w:szCs w:val="24"/>
          <w:lang w:eastAsia="en-US"/>
        </w:rPr>
        <w:fldChar w:fldCharType="begin"/>
      </w:r>
      <w:r w:rsidRPr="00BF440D">
        <w:rPr>
          <w:rFonts w:ascii="Cambria" w:eastAsia="宋体" w:hAnsi="Cambria" w:cs="Times New Roman"/>
          <w:kern w:val="0"/>
          <w:sz w:val="24"/>
          <w:szCs w:val="24"/>
          <w:lang w:eastAsia="en-US"/>
        </w:rPr>
        <w:instrText xml:space="preserve"> ADDIN ZOTERO_ITEM CSL_CITATION {"citationID":"0qtyl0RW","properties":{"formattedCitation":"(Ulm &amp; Jenkins, 2015)","plainCitation":"(Ulm &amp; Jenkins, 2015)","noteIndex":0},"citationItems":[{"id":286,"uris":["http://zotero.org/users/6732890/items/XDB2K3XV"],"uri":["http://zotero.org/users/6732890/items/XDB2K3XV"],"itemData":{"id":286,"type":"article-journal","abstract":"Plants are able to sense UV-B through the UV-B photoreceptor UVR8. UV-B photon absorption by a UVR8 homodimer leads to UVR8 monomerization and interaction with the downstream signaling factor COP1. This then initiates changes in gene expression, which lead to several metabolic and morphological alterations. A major response is the activation of mechanisms associated with UV-B acclimation and UV-B tolerance, including biosynthesis of sunscreen metabolites, antioxidants and DNA repair enzymes. To balance the response, UVR8 is inactivated by regulated re-dimerization. Apart from their importance for plants, UVR8 and its interacting protein COP1 have already proved useful for the optogenetic toolkit used to engineer synthetic light-dependent responses.","container-title":"BMC Biology","DOI":"10.1186/s12915-015-0156-y","ISSN":"1741-7007","issue":"1","journalAbbreviation":"BMC Biology","page":"45","source":"BioMed Central","title":"Q&amp;A: How do plants sense and respond to UV-B radiation?","title-short":"Q&amp;A","volume":"13","author":[{"family":"Ulm","given":"Roman"},{"family":"Jenkins","given":"Gareth I."}],"issued":{"date-parts":[["2015",6,30]]}}}],"schema":"https://github.com/citation-style-language/schema/raw/master/csl-citation.json"} </w:instrText>
      </w:r>
      <w:r w:rsidRPr="00BF440D">
        <w:rPr>
          <w:rFonts w:ascii="Cambria" w:eastAsia="宋体" w:hAnsi="Cambria" w:cs="Times New Roman"/>
          <w:kern w:val="0"/>
          <w:sz w:val="24"/>
          <w:szCs w:val="24"/>
          <w:lang w:eastAsia="en-US"/>
        </w:rPr>
        <w:fldChar w:fldCharType="separate"/>
      </w:r>
      <w:r w:rsidR="00FB45FE" w:rsidRPr="00FB45FE">
        <w:rPr>
          <w:rFonts w:ascii="Cambria" w:hAnsi="Cambria"/>
          <w:sz w:val="24"/>
          <w:lang w:eastAsia="en-US"/>
        </w:rPr>
        <w:t>(Ulm &amp; Jenkins, 2015)</w:t>
      </w:r>
      <w:r w:rsidRPr="00BF440D">
        <w:rPr>
          <w:rFonts w:ascii="Cambria" w:eastAsia="宋体" w:hAnsi="Cambria" w:cs="Times New Roman"/>
          <w:kern w:val="0"/>
          <w:sz w:val="24"/>
          <w:szCs w:val="24"/>
          <w:lang w:eastAsia="en-US"/>
        </w:rPr>
        <w:fldChar w:fldCharType="end"/>
      </w:r>
      <w:r w:rsidRPr="006D6A51">
        <w:rPr>
          <w:rFonts w:ascii="Cambria" w:eastAsia="宋体" w:hAnsi="Cambria" w:cs="Times New Roman"/>
          <w:kern w:val="0"/>
          <w:sz w:val="24"/>
          <w:szCs w:val="24"/>
          <w:lang w:eastAsia="en-US"/>
        </w:rPr>
        <w:t>. These signal pathways can be reused in the input layer. Scientists can also introduce multiple signaling pathways to the input layer, which can make it possible to sense a variety of environmental signals.</w:t>
      </w:r>
    </w:p>
    <w:p w14:paraId="57E72897" w14:textId="77777777" w:rsidR="006E1B77" w:rsidRPr="006D6A51" w:rsidRDefault="006E1B77" w:rsidP="006E1B77">
      <w:pPr>
        <w:rPr>
          <w:rFonts w:ascii="Cambria" w:eastAsia="宋体" w:hAnsi="Cambria" w:cs="Times New Roman"/>
          <w:b/>
          <w:kern w:val="0"/>
          <w:sz w:val="24"/>
          <w:szCs w:val="24"/>
          <w:lang w:eastAsia="en-US"/>
        </w:rPr>
      </w:pPr>
      <w:r w:rsidRPr="006D6A51">
        <w:rPr>
          <w:rFonts w:ascii="Cambria" w:eastAsia="宋体" w:hAnsi="Cambria" w:cs="Times New Roman"/>
          <w:b/>
          <w:kern w:val="0"/>
          <w:sz w:val="24"/>
          <w:szCs w:val="24"/>
          <w:lang w:eastAsia="en-US"/>
        </w:rPr>
        <w:t>hidden layer (optional)</w:t>
      </w:r>
    </w:p>
    <w:p w14:paraId="5A0D11AE" w14:textId="7FE7FA9B" w:rsidR="006E1B77" w:rsidRDefault="006E1B77" w:rsidP="006E1B77">
      <w:pPr>
        <w:rPr>
          <w:rFonts w:ascii="Cambria" w:eastAsia="宋体" w:hAnsi="Cambria" w:cs="Arial"/>
          <w:color w:val="222222"/>
          <w:shd w:val="clear" w:color="auto" w:fill="FFFFFF"/>
        </w:rPr>
      </w:pPr>
      <w:r w:rsidRPr="006D6A51">
        <w:rPr>
          <w:rFonts w:ascii="Cambria" w:eastAsia="宋体" w:hAnsi="Cambria" w:cs="Times New Roman"/>
          <w:kern w:val="0"/>
          <w:sz w:val="24"/>
          <w:szCs w:val="24"/>
          <w:lang w:eastAsia="en-US"/>
        </w:rPr>
        <w:t>In the hidden layer, we utilized protein-based logic gates proposed by Chen et al.</w:t>
      </w:r>
      <w:r w:rsidRPr="00BF440D">
        <w:rPr>
          <w:rFonts w:ascii="Cambria" w:eastAsia="宋体" w:hAnsi="Cambria" w:cs="Times New Roman"/>
          <w:kern w:val="0"/>
          <w:sz w:val="24"/>
          <w:szCs w:val="24"/>
          <w:lang w:eastAsia="en-US"/>
        </w:rPr>
        <w:t xml:space="preserve"> </w:t>
      </w:r>
      <w:r w:rsidRPr="00BF440D">
        <w:rPr>
          <w:rFonts w:ascii="Cambria" w:eastAsia="宋体" w:hAnsi="Cambria" w:cs="Times New Roman"/>
          <w:kern w:val="0"/>
          <w:sz w:val="24"/>
          <w:szCs w:val="24"/>
          <w:lang w:eastAsia="en-US"/>
        </w:rPr>
        <w:fldChar w:fldCharType="begin"/>
      </w:r>
      <w:r w:rsidRPr="00BF440D">
        <w:rPr>
          <w:rFonts w:ascii="Cambria" w:eastAsia="宋体" w:hAnsi="Cambria" w:cs="Times New Roman"/>
          <w:kern w:val="0"/>
          <w:sz w:val="24"/>
          <w:szCs w:val="24"/>
          <w:lang w:eastAsia="en-US"/>
        </w:rPr>
        <w:instrText xml:space="preserve"> ADDIN ZOTERO_ITEM CSL_CITATION {"citationID":"46V990J1","properties":{"formattedCitation":"(Chen et al., 2002)","plainCitation":"(Chen et al., 2002)","noteIndex":0},"citationItems":[{"id":277,"uris":["http://zotero.org/users/6732890/items/LLPLAZIA"],"uri":["http://zotero.org/users/6732890/items/LLPLAZIA"],"itemData":{"id":277,"type":"article-journal","abstract":"Cell–cell communication in bacteria is accomplished through the exchange of extracellular signalling molecules called autoinducers. This process, termed quorum sensing, allows bacterial populations to coordinate gene expression. Community cooperation probably enhances the effectiveness of processes such as bioluminescence, virulence factor expression, antibiotic production and biofilm development1,2,3,4. Unlike other autoinducers, which are specific to a particular species of bacteria, a recently discovered autoinducer (AI-2)5 is produced by a large number of bacterial species. AI-2 has been proposed to serve as a ‘universal’ signal for inter-species communication1,2,6,7. The chemical identity of AI-2 has, however, proved elusive. Here we present the crystal structure of an AI-2 sensor protein, LuxP, in a complex with autoinducer. The bound ligand is a furanosyl borate diester that bears no resemblance to previously characterized autoinducers. Our findings suggest that addition of naturally occurring borate to an AI-2 precursor generates active AI-2. Furthermore, they indicate a potential biological role for boron, an element required by a number of organisms but for unknown reasons.","container-title":"Nature","DOI":"10.1038/415545a","ISSN":"1476-4687","issue":"6871","language":"en","note":"number: 6871\npublisher: Nature Publishing Group","page":"545-549","source":"www.nature.com","title":"Structural identification of a bacterial quorum-sensing signal containing boron","volume":"415","author":[{"family":"Chen","given":"Xin"},{"family":"Schauder","given":"Stephan"},{"family":"Potier","given":"Noelle"},{"family":"Van Dorsselaer","given":"Alain"},{"family":"Pelczer","given":"István"},{"family":"Bassler","given":"Bonnie L."},{"family":"Hughson","given":"Frederick M."}],"issued":{"date-parts":[["2002",1]]}}}],"schema":"https://github.com/citation-style-language/schema/raw/master/csl-citation.json"} </w:instrText>
      </w:r>
      <w:r w:rsidRPr="00BF440D">
        <w:rPr>
          <w:rFonts w:ascii="Cambria" w:eastAsia="宋体" w:hAnsi="Cambria" w:cs="Times New Roman"/>
          <w:kern w:val="0"/>
          <w:sz w:val="24"/>
          <w:szCs w:val="24"/>
          <w:lang w:eastAsia="en-US"/>
        </w:rPr>
        <w:fldChar w:fldCharType="separate"/>
      </w:r>
      <w:r w:rsidR="00FB45FE" w:rsidRPr="00FB45FE">
        <w:rPr>
          <w:rFonts w:ascii="Cambria" w:hAnsi="Cambria"/>
          <w:sz w:val="24"/>
          <w:lang w:eastAsia="en-US"/>
        </w:rPr>
        <w:t>(Chen et al., 2002)</w:t>
      </w:r>
      <w:r w:rsidRPr="00BF440D">
        <w:rPr>
          <w:rFonts w:ascii="Cambria" w:eastAsia="宋体" w:hAnsi="Cambria" w:cs="Times New Roman"/>
          <w:kern w:val="0"/>
          <w:sz w:val="24"/>
          <w:szCs w:val="24"/>
          <w:lang w:eastAsia="en-US"/>
        </w:rPr>
        <w:fldChar w:fldCharType="end"/>
      </w:r>
      <w:r w:rsidRPr="006D6A51">
        <w:rPr>
          <w:rFonts w:ascii="Cambria" w:eastAsia="宋体" w:hAnsi="Cambria" w:cs="Times New Roman"/>
          <w:kern w:val="0"/>
          <w:sz w:val="24"/>
          <w:szCs w:val="24"/>
          <w:lang w:eastAsia="en-US"/>
        </w:rPr>
        <w:t xml:space="preserve"> to process complex information from the input layer. These logic gates include AND, OR, and NOT gate, constructed by a series of heterodimeric molecules. For example, given</w:t>
      </w:r>
      <w:r w:rsidRPr="006D6A51">
        <w:rPr>
          <w:rFonts w:ascii="Cambria" w:eastAsia="宋体" w:hAnsi="Cambria" w:cs="Times New Roman" w:hint="eastAsia"/>
          <w:kern w:val="0"/>
          <w:sz w:val="24"/>
          <w:szCs w:val="24"/>
          <w:lang w:eastAsia="en-US"/>
        </w:rPr>
        <w:t xml:space="preserve"> hypothetical heterodimer pairs A:</w:t>
      </w:r>
      <w:r w:rsidRPr="006D6A51">
        <w:rPr>
          <w:rFonts w:ascii="Cambria" w:eastAsia="宋体" w:hAnsi="Cambria" w:cs="Times New Roman"/>
          <w:kern w:val="0"/>
          <w:sz w:val="24"/>
          <w:szCs w:val="24"/>
          <w:lang w:eastAsia="en-US"/>
        </w:rPr>
        <w:t xml:space="preserve"> </w:t>
      </w:r>
      <w:r w:rsidRPr="006D6A51">
        <w:rPr>
          <w:rFonts w:ascii="Cambria" w:eastAsia="宋体" w:hAnsi="Cambria" w:cs="Times New Roman" w:hint="eastAsia"/>
          <w:kern w:val="0"/>
          <w:sz w:val="24"/>
          <w:szCs w:val="24"/>
          <w:lang w:eastAsia="en-US"/>
        </w:rPr>
        <w:t>A</w:t>
      </w:r>
      <w:r w:rsidRPr="006D6A51">
        <w:rPr>
          <w:rFonts w:ascii="Cambria" w:eastAsia="宋体" w:hAnsi="Cambria" w:cs="Times New Roman"/>
          <w:kern w:val="0"/>
          <w:sz w:val="24"/>
          <w:szCs w:val="24"/>
          <w:lang w:eastAsia="en-US"/>
        </w:rPr>
        <w:t>’</w:t>
      </w:r>
      <w:r w:rsidRPr="006D6A51">
        <w:rPr>
          <w:rFonts w:ascii="Cambria" w:eastAsia="宋体" w:hAnsi="Cambria" w:cs="Times New Roman" w:hint="eastAsia"/>
          <w:kern w:val="0"/>
          <w:sz w:val="24"/>
          <w:szCs w:val="24"/>
          <w:lang w:eastAsia="en-US"/>
        </w:rPr>
        <w:t>,</w:t>
      </w:r>
      <w:r w:rsidRPr="006D6A51">
        <w:rPr>
          <w:rFonts w:ascii="Cambria" w:eastAsia="宋体" w:hAnsi="Cambria" w:cs="Times New Roman"/>
          <w:kern w:val="0"/>
          <w:sz w:val="24"/>
          <w:szCs w:val="24"/>
          <w:lang w:eastAsia="en-US"/>
        </w:rPr>
        <w:t xml:space="preserve"> </w:t>
      </w:r>
      <w:r w:rsidRPr="006D6A51">
        <w:rPr>
          <w:rFonts w:ascii="Cambria" w:eastAsia="宋体" w:hAnsi="Cambria" w:cs="Times New Roman" w:hint="eastAsia"/>
          <w:kern w:val="0"/>
          <w:sz w:val="24"/>
          <w:szCs w:val="24"/>
          <w:lang w:eastAsia="en-US"/>
        </w:rPr>
        <w:t>B:</w:t>
      </w:r>
      <w:r w:rsidRPr="006D6A51">
        <w:rPr>
          <w:rFonts w:ascii="Cambria" w:eastAsia="宋体" w:hAnsi="Cambria" w:cs="Times New Roman"/>
          <w:kern w:val="0"/>
          <w:sz w:val="24"/>
          <w:szCs w:val="24"/>
          <w:lang w:eastAsia="en-US"/>
        </w:rPr>
        <w:t xml:space="preserve"> </w:t>
      </w:r>
      <w:r w:rsidRPr="006D6A51">
        <w:rPr>
          <w:rFonts w:ascii="Cambria" w:eastAsia="宋体" w:hAnsi="Cambria" w:cs="Times New Roman" w:hint="eastAsia"/>
          <w:kern w:val="0"/>
          <w:sz w:val="24"/>
          <w:szCs w:val="24"/>
          <w:lang w:eastAsia="en-US"/>
        </w:rPr>
        <w:t>B</w:t>
      </w:r>
      <w:r w:rsidRPr="006D6A51">
        <w:rPr>
          <w:rFonts w:ascii="Cambria" w:eastAsia="宋体" w:hAnsi="Cambria" w:cs="Times New Roman"/>
          <w:kern w:val="0"/>
          <w:sz w:val="24"/>
          <w:szCs w:val="24"/>
          <w:lang w:eastAsia="en-US"/>
        </w:rPr>
        <w:t xml:space="preserve">’ (here “:” denotes noncovalent interaction), a NOT gate can be constructed by A’, B’, </w:t>
      </w:r>
      <w:r w:rsidRPr="006D6A51">
        <w:rPr>
          <w:rFonts w:ascii="Cambria" w:eastAsia="宋体" w:hAnsi="Cambria" w:cs="Times New Roman" w:hint="eastAsia"/>
          <w:kern w:val="0"/>
          <w:sz w:val="24"/>
          <w:szCs w:val="24"/>
          <w:lang w:eastAsia="en-US"/>
        </w:rPr>
        <w:t>and</w:t>
      </w:r>
      <w:r w:rsidRPr="006D6A51">
        <w:rPr>
          <w:rFonts w:ascii="Cambria" w:eastAsia="宋体" w:hAnsi="Cambria" w:cs="Times New Roman"/>
          <w:kern w:val="0"/>
          <w:sz w:val="24"/>
          <w:szCs w:val="24"/>
          <w:lang w:eastAsia="en-US"/>
        </w:rPr>
        <w:t xml:space="preserve"> A’–B </w:t>
      </w:r>
      <w:r w:rsidRPr="006D6A51">
        <w:rPr>
          <w:rFonts w:ascii="Cambria" w:eastAsia="宋体" w:hAnsi="Cambria" w:cs="Times New Roman" w:hint="eastAsia"/>
          <w:kern w:val="0"/>
          <w:sz w:val="24"/>
          <w:szCs w:val="24"/>
          <w:lang w:eastAsia="en-US"/>
        </w:rPr>
        <w:t>(</w:t>
      </w:r>
      <w:r w:rsidRPr="006D6A51">
        <w:rPr>
          <w:rFonts w:ascii="Cambria" w:eastAsia="宋体" w:hAnsi="Cambria" w:cs="Times New Roman"/>
          <w:kern w:val="0"/>
          <w:sz w:val="24"/>
          <w:szCs w:val="24"/>
          <w:lang w:eastAsia="en-US"/>
        </w:rPr>
        <w:t>here “–” denotes covalent interaction), where B’ is binding to a repressor. When the signal molecule A’–B occurs, a simple system A: A’ –B: B’ forms, which inhibits the gene expression (Fig. 2). O</w:t>
      </w:r>
      <w:r w:rsidRPr="006D6A51">
        <w:rPr>
          <w:rFonts w:ascii="Cambria" w:eastAsia="宋体" w:hAnsi="Cambria" w:cs="Times New Roman" w:hint="eastAsia"/>
          <w:kern w:val="0"/>
          <w:sz w:val="24"/>
          <w:szCs w:val="24"/>
          <w:lang w:eastAsia="en-US"/>
        </w:rPr>
        <w:t>ther</w:t>
      </w:r>
      <w:r w:rsidRPr="006D6A51">
        <w:rPr>
          <w:rFonts w:ascii="Cambria" w:eastAsia="宋体" w:hAnsi="Cambria" w:cs="Times New Roman"/>
          <w:kern w:val="0"/>
          <w:sz w:val="24"/>
          <w:szCs w:val="24"/>
          <w:lang w:eastAsia="en-US"/>
        </w:rPr>
        <w:t xml:space="preserve"> logic gates are designed according to similar mechanisms. These logic gates can be used repetitively to construct complex information</w:t>
      </w:r>
      <w:r w:rsidRPr="006D6A51">
        <w:rPr>
          <w:rFonts w:ascii="Cambria" w:eastAsia="宋体" w:hAnsi="Cambria" w:cs="Arial"/>
          <w:color w:val="222222"/>
          <w:shd w:val="clear" w:color="auto" w:fill="FFFFFF"/>
        </w:rPr>
        <w:t xml:space="preserve"> processing systems.</w:t>
      </w:r>
    </w:p>
    <w:p w14:paraId="426C1E79" w14:textId="77777777" w:rsidR="006E1B77" w:rsidRDefault="006E1B77" w:rsidP="006E1B77">
      <w:pPr>
        <w:rPr>
          <w:rFonts w:ascii="Cambria" w:eastAsia="宋体" w:hAnsi="Cambria" w:cs="Arial"/>
          <w:color w:val="222222"/>
          <w:shd w:val="clear" w:color="auto" w:fill="FFFFFF"/>
        </w:rPr>
      </w:pPr>
      <w:r>
        <w:rPr>
          <w:rFonts w:ascii="Cambria" w:eastAsia="宋体" w:hAnsi="Cambria" w:cs="Arial"/>
          <w:noProof/>
          <w:color w:val="222222"/>
          <w:shd w:val="clear" w:color="auto" w:fill="FFFFFF"/>
        </w:rPr>
        <w:drawing>
          <wp:inline distT="0" distB="0" distL="0" distR="0" wp14:anchorId="496A15D0" wp14:editId="05D3A090">
            <wp:extent cx="2635641" cy="3539905"/>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5989" cy="3553803"/>
                    </a:xfrm>
                    <a:prstGeom prst="rect">
                      <a:avLst/>
                    </a:prstGeom>
                    <a:noFill/>
                  </pic:spPr>
                </pic:pic>
              </a:graphicData>
            </a:graphic>
          </wp:inline>
        </w:drawing>
      </w:r>
    </w:p>
    <w:p w14:paraId="48D9CEC4" w14:textId="30243920" w:rsidR="006E1B77" w:rsidRPr="006D6A51" w:rsidRDefault="006E1B77" w:rsidP="006E1B77">
      <w:pPr>
        <w:rPr>
          <w:rFonts w:ascii="Times New Roman" w:hAnsi="Times New Roman" w:cs="Times New Roman"/>
        </w:rPr>
      </w:pPr>
      <w:r w:rsidRPr="00BF440D">
        <w:rPr>
          <w:rFonts w:ascii="Times New Roman" w:hAnsi="Times New Roman" w:cs="Times New Roman" w:hint="eastAsia"/>
        </w:rPr>
        <w:t>F</w:t>
      </w:r>
      <w:r w:rsidRPr="00BF440D">
        <w:rPr>
          <w:rFonts w:ascii="Times New Roman" w:hAnsi="Times New Roman" w:cs="Times New Roman"/>
        </w:rPr>
        <w:t xml:space="preserve">igure </w:t>
      </w:r>
      <w:r w:rsidR="00BF440D" w:rsidRPr="00BF440D">
        <w:rPr>
          <w:rFonts w:ascii="Times New Roman" w:hAnsi="Times New Roman" w:cs="Times New Roman"/>
        </w:rPr>
        <w:t>6</w:t>
      </w:r>
      <w:r w:rsidRPr="00BF440D">
        <w:rPr>
          <w:rFonts w:ascii="Times New Roman" w:hAnsi="Times New Roman" w:cs="Times New Roman"/>
        </w:rPr>
        <w:t>. The design of NOT gate.</w:t>
      </w:r>
    </w:p>
    <w:p w14:paraId="66DE01A1" w14:textId="77777777" w:rsidR="006E1B77" w:rsidRPr="006D6A51" w:rsidRDefault="006E1B77" w:rsidP="006E1B77">
      <w:pPr>
        <w:rPr>
          <w:rFonts w:ascii="Cambria" w:eastAsia="宋体" w:hAnsi="Cambria" w:cs="Times New Roman"/>
          <w:b/>
          <w:kern w:val="0"/>
          <w:sz w:val="24"/>
          <w:szCs w:val="24"/>
          <w:lang w:eastAsia="en-US"/>
        </w:rPr>
      </w:pPr>
      <w:r w:rsidRPr="006D6A51">
        <w:rPr>
          <w:rFonts w:ascii="Cambria" w:eastAsia="宋体" w:hAnsi="Cambria" w:cs="Times New Roman"/>
          <w:b/>
          <w:kern w:val="0"/>
          <w:sz w:val="24"/>
          <w:szCs w:val="24"/>
          <w:lang w:eastAsia="en-US"/>
        </w:rPr>
        <w:t>Output layer</w:t>
      </w:r>
    </w:p>
    <w:p w14:paraId="6DF161D1" w14:textId="77777777" w:rsidR="006E1B77" w:rsidRPr="006D6A51" w:rsidRDefault="006E1B77" w:rsidP="006E1B77">
      <w:pPr>
        <w:rPr>
          <w:rFonts w:ascii="Cambria" w:eastAsia="宋体" w:hAnsi="Cambria" w:cs="Times New Roman"/>
          <w:kern w:val="0"/>
          <w:sz w:val="24"/>
          <w:szCs w:val="24"/>
          <w:lang w:eastAsia="en-US"/>
        </w:rPr>
      </w:pPr>
      <w:r w:rsidRPr="006D6A51">
        <w:rPr>
          <w:rFonts w:ascii="Cambria" w:eastAsia="宋体" w:hAnsi="Cambria" w:cs="Times New Roman"/>
          <w:kern w:val="0"/>
          <w:sz w:val="24"/>
          <w:szCs w:val="24"/>
          <w:lang w:eastAsia="en-US"/>
        </w:rPr>
        <w:t xml:space="preserve">This layer is used </w:t>
      </w:r>
      <w:r w:rsidRPr="006D6A51">
        <w:rPr>
          <w:rFonts w:ascii="Cambria" w:eastAsia="宋体" w:hAnsi="Cambria" w:cs="Times New Roman" w:hint="eastAsia"/>
          <w:kern w:val="0"/>
          <w:sz w:val="24"/>
          <w:szCs w:val="24"/>
          <w:lang w:eastAsia="en-US"/>
        </w:rPr>
        <w:t>t</w:t>
      </w:r>
      <w:r w:rsidRPr="006D6A51">
        <w:rPr>
          <w:rFonts w:ascii="Cambria" w:eastAsia="宋体" w:hAnsi="Cambria" w:cs="Times New Roman"/>
          <w:kern w:val="0"/>
          <w:sz w:val="24"/>
          <w:szCs w:val="24"/>
          <w:lang w:eastAsia="en-US"/>
        </w:rPr>
        <w:t xml:space="preserve">o customize cell behavior by using various structural and report genes. Genes that produces intercellular signal molecules should also be </w:t>
      </w:r>
      <w:r w:rsidRPr="006D6A51">
        <w:rPr>
          <w:rFonts w:ascii="Cambria" w:eastAsia="宋体" w:hAnsi="Cambria" w:cs="Times New Roman"/>
          <w:kern w:val="0"/>
          <w:sz w:val="24"/>
          <w:szCs w:val="24"/>
          <w:lang w:eastAsia="en-US"/>
        </w:rPr>
        <w:lastRenderedPageBreak/>
        <w:t>integrated into this layer in order to communicate the next cell.</w:t>
      </w:r>
    </w:p>
    <w:p w14:paraId="60427115" w14:textId="77777777" w:rsidR="006E1B77" w:rsidRPr="006D6A51" w:rsidRDefault="006E1B77" w:rsidP="006E1B77"/>
    <w:p w14:paraId="6FF90AAB" w14:textId="77777777" w:rsidR="006E1B77" w:rsidRDefault="006E1B77" w:rsidP="006E1B77">
      <w:pPr>
        <w:pStyle w:val="3"/>
      </w:pPr>
      <w:r>
        <w:rPr>
          <w:rFonts w:hint="eastAsia"/>
        </w:rPr>
        <w:t>C</w:t>
      </w:r>
      <w:r>
        <w:t>hosen signaling pathways</w:t>
      </w:r>
    </w:p>
    <w:p w14:paraId="401B2C5F" w14:textId="77777777" w:rsidR="006E1B77" w:rsidRPr="00BF440D" w:rsidRDefault="006E1B77" w:rsidP="006E1B77">
      <w:pPr>
        <w:rPr>
          <w:rFonts w:ascii="Cambria" w:eastAsia="宋体" w:hAnsi="Cambria" w:cs="Times New Roman"/>
          <w:kern w:val="0"/>
          <w:sz w:val="24"/>
          <w:szCs w:val="24"/>
          <w:lang w:eastAsia="en-US"/>
        </w:rPr>
      </w:pPr>
      <w:r w:rsidRPr="00BF440D">
        <w:rPr>
          <w:rFonts w:ascii="Cambria" w:eastAsia="宋体" w:hAnsi="Cambria" w:cs="Times New Roman"/>
          <w:kern w:val="0"/>
          <w:sz w:val="24"/>
          <w:szCs w:val="24"/>
          <w:lang w:eastAsia="en-US"/>
        </w:rPr>
        <w:t xml:space="preserve">We decide to use </w:t>
      </w:r>
      <w:r w:rsidRPr="00BF440D">
        <w:rPr>
          <w:rFonts w:ascii="Cambria" w:eastAsia="宋体" w:hAnsi="Cambria" w:cs="Times New Roman" w:hint="eastAsia"/>
          <w:kern w:val="0"/>
          <w:sz w:val="24"/>
          <w:szCs w:val="24"/>
          <w:lang w:eastAsia="en-US"/>
        </w:rPr>
        <w:t>t</w:t>
      </w:r>
      <w:r w:rsidRPr="00BF440D">
        <w:rPr>
          <w:rFonts w:ascii="Cambria" w:eastAsia="宋体" w:hAnsi="Cambria" w:cs="Times New Roman"/>
          <w:kern w:val="0"/>
          <w:sz w:val="24"/>
          <w:szCs w:val="24"/>
          <w:lang w:eastAsia="en-US"/>
        </w:rPr>
        <w:t>he specific interactions between ligands and receptors to trigger each signaling pathways. Here are three ligands we had chosen to triggering important signaling pathways for further research of HCC.</w:t>
      </w:r>
    </w:p>
    <w:p w14:paraId="6D8201DD" w14:textId="77777777" w:rsidR="006E1B77" w:rsidRDefault="006E1B77" w:rsidP="006E1B77">
      <w:pPr>
        <w:pStyle w:val="4"/>
      </w:pPr>
      <w:r w:rsidRPr="0077219D">
        <w:t>TGF-β</w:t>
      </w:r>
    </w:p>
    <w:p w14:paraId="2F8E74D2" w14:textId="77777777" w:rsidR="006E1B77" w:rsidRPr="00BF440D" w:rsidRDefault="006E1B77" w:rsidP="006E1B77">
      <w:pPr>
        <w:rPr>
          <w:rFonts w:ascii="Cambria" w:eastAsia="宋体" w:hAnsi="Cambria" w:cs="Times New Roman"/>
          <w:kern w:val="0"/>
          <w:sz w:val="24"/>
          <w:szCs w:val="24"/>
          <w:lang w:eastAsia="en-US"/>
        </w:rPr>
      </w:pPr>
      <w:r w:rsidRPr="00BF440D">
        <w:rPr>
          <w:rFonts w:ascii="Cambria" w:eastAsia="宋体" w:hAnsi="Cambria" w:cs="Times New Roman"/>
          <w:kern w:val="0"/>
          <w:sz w:val="24"/>
          <w:szCs w:val="24"/>
          <w:lang w:eastAsia="en-US"/>
        </w:rPr>
        <w:t>Receptor</w:t>
      </w:r>
      <w:r w:rsidRPr="00BF440D">
        <w:rPr>
          <w:rFonts w:ascii="Cambria" w:eastAsia="宋体" w:hAnsi="Cambria" w:cs="Times New Roman"/>
          <w:kern w:val="0"/>
          <w:sz w:val="24"/>
          <w:szCs w:val="24"/>
          <w:lang w:eastAsia="en-US"/>
        </w:rPr>
        <w:t>：</w:t>
      </w:r>
      <w:r w:rsidRPr="00BF440D">
        <w:rPr>
          <w:rFonts w:ascii="Cambria" w:eastAsia="宋体" w:hAnsi="Cambria" w:cs="Times New Roman"/>
          <w:kern w:val="0"/>
          <w:sz w:val="24"/>
          <w:szCs w:val="24"/>
          <w:lang w:eastAsia="en-US"/>
        </w:rPr>
        <w:t>TGFBR2</w:t>
      </w:r>
    </w:p>
    <w:p w14:paraId="072467BF" w14:textId="77777777" w:rsidR="006E1B77" w:rsidRPr="00BF440D" w:rsidRDefault="006E1B77" w:rsidP="006E1B77">
      <w:pPr>
        <w:rPr>
          <w:rFonts w:ascii="Cambria" w:eastAsia="宋体" w:hAnsi="Cambria" w:cs="Times New Roman"/>
          <w:kern w:val="0"/>
          <w:sz w:val="24"/>
          <w:szCs w:val="24"/>
          <w:lang w:eastAsia="en-US"/>
        </w:rPr>
      </w:pPr>
      <w:r w:rsidRPr="00BF440D">
        <w:rPr>
          <w:rFonts w:ascii="Cambria" w:eastAsia="宋体" w:hAnsi="Cambria" w:cs="Times New Roman"/>
          <w:kern w:val="0"/>
          <w:sz w:val="24"/>
          <w:szCs w:val="24"/>
          <w:lang w:eastAsia="en-US"/>
        </w:rPr>
        <w:t>Downstream: TGFB1→Smads→RhoA</w:t>
      </w:r>
    </w:p>
    <w:p w14:paraId="1AACBA7E" w14:textId="77777777" w:rsidR="006E1B77" w:rsidRPr="00BF440D" w:rsidRDefault="006E1B77" w:rsidP="006E1B77">
      <w:pPr>
        <w:rPr>
          <w:rFonts w:ascii="Cambria" w:eastAsia="宋体" w:hAnsi="Cambria" w:cs="Times New Roman"/>
          <w:kern w:val="0"/>
          <w:sz w:val="24"/>
          <w:szCs w:val="24"/>
          <w:lang w:eastAsia="en-US"/>
        </w:rPr>
      </w:pPr>
      <w:r w:rsidRPr="00BF440D">
        <w:rPr>
          <w:rFonts w:ascii="Cambria" w:eastAsia="宋体" w:hAnsi="Cambria" w:cs="Times New Roman"/>
          <w:kern w:val="0"/>
          <w:sz w:val="24"/>
          <w:szCs w:val="24"/>
          <w:lang w:eastAsia="en-US"/>
        </w:rPr>
        <w:t xml:space="preserve">TGF-beta signaling is involved in the regulation of proliferation, differentiation and survival/or apoptosis of many cells, including glioma cells. TGF-beta acts via specific receptors activating multiple intracellular pathways resulting in phosphorylation of receptor-regulated Smad2/3 proteins that associate with the common mediator, Smad4. Such complex </w:t>
      </w:r>
      <w:proofErr w:type="spellStart"/>
      <w:r w:rsidRPr="00BF440D">
        <w:rPr>
          <w:rFonts w:ascii="Cambria" w:eastAsia="宋体" w:hAnsi="Cambria" w:cs="Times New Roman"/>
          <w:kern w:val="0"/>
          <w:sz w:val="24"/>
          <w:szCs w:val="24"/>
          <w:lang w:eastAsia="en-US"/>
        </w:rPr>
        <w:t>translocates</w:t>
      </w:r>
      <w:proofErr w:type="spellEnd"/>
      <w:r w:rsidRPr="00BF440D">
        <w:rPr>
          <w:rFonts w:ascii="Cambria" w:eastAsia="宋体" w:hAnsi="Cambria" w:cs="Times New Roman"/>
          <w:kern w:val="0"/>
          <w:sz w:val="24"/>
          <w:szCs w:val="24"/>
          <w:lang w:eastAsia="en-US"/>
        </w:rPr>
        <w:t xml:space="preserve"> to the nucleus, binds to DNA and regulates transcription of many genes. Furthermore, TGF-beta -activated kinase-1 (TAK1) is a component of TGF-beta signaling and activates mitogen-activated protein kinase cascades. Negative regulation of TGF-beta /</w:t>
      </w:r>
      <w:proofErr w:type="spellStart"/>
      <w:r w:rsidRPr="00BF440D">
        <w:rPr>
          <w:rFonts w:ascii="Cambria" w:eastAsia="宋体" w:hAnsi="Cambria" w:cs="Times New Roman"/>
          <w:kern w:val="0"/>
          <w:sz w:val="24"/>
          <w:szCs w:val="24"/>
          <w:lang w:eastAsia="en-US"/>
        </w:rPr>
        <w:t>Smad</w:t>
      </w:r>
      <w:proofErr w:type="spellEnd"/>
      <w:r w:rsidRPr="00BF440D">
        <w:rPr>
          <w:rFonts w:ascii="Cambria" w:eastAsia="宋体" w:hAnsi="Cambria" w:cs="Times New Roman"/>
          <w:kern w:val="0"/>
          <w:sz w:val="24"/>
          <w:szCs w:val="24"/>
          <w:lang w:eastAsia="en-US"/>
        </w:rPr>
        <w:t xml:space="preserve"> signaling may occur through the inhibitory Smad6/7. Increased expression of TGF-beta 1-3 correlates with a degree of malignancy of human gliomas. TGF-beta may contribute to tumor pathogenesis by direct support of tumor growth, self-renewal of glioma initiating stem cells and inhibiting of anti-tumor immunity. Inhibitors of TGF-beta signaling reduce viability and invasion of gliomas in animal models and show promises as novel, potential anti-tumor therapeutics.</w:t>
      </w:r>
    </w:p>
    <w:p w14:paraId="6F7B3EC6" w14:textId="77777777" w:rsidR="006E1B77" w:rsidRPr="00BF440D" w:rsidRDefault="006E1B77" w:rsidP="006E1B77">
      <w:pPr>
        <w:rPr>
          <w:rFonts w:ascii="Cambria" w:eastAsia="宋体" w:hAnsi="Cambria" w:cs="Times New Roman"/>
          <w:kern w:val="0"/>
          <w:sz w:val="24"/>
          <w:szCs w:val="24"/>
          <w:lang w:eastAsia="en-US"/>
        </w:rPr>
      </w:pPr>
    </w:p>
    <w:p w14:paraId="66242B50" w14:textId="77777777" w:rsidR="006E1B77" w:rsidRPr="00BF440D" w:rsidRDefault="006E1B77" w:rsidP="006E1B77">
      <w:pPr>
        <w:rPr>
          <w:rFonts w:ascii="Cambria" w:eastAsia="宋体" w:hAnsi="Cambria" w:cs="Times New Roman"/>
          <w:kern w:val="0"/>
          <w:sz w:val="24"/>
          <w:szCs w:val="24"/>
          <w:lang w:eastAsia="en-US"/>
        </w:rPr>
      </w:pPr>
      <w:r w:rsidRPr="00BF440D">
        <w:rPr>
          <w:rFonts w:ascii="Cambria" w:eastAsia="宋体" w:hAnsi="Cambria" w:cs="Times New Roman"/>
          <w:kern w:val="0"/>
          <w:sz w:val="24"/>
          <w:szCs w:val="24"/>
          <w:lang w:eastAsia="en-US"/>
        </w:rPr>
        <w:t xml:space="preserve">TGF-beta superfamily of cytokines </w:t>
      </w:r>
      <w:proofErr w:type="gramStart"/>
      <w:r w:rsidRPr="00BF440D">
        <w:rPr>
          <w:rFonts w:ascii="Cambria" w:eastAsia="宋体" w:hAnsi="Cambria" w:cs="Times New Roman"/>
          <w:kern w:val="0"/>
          <w:sz w:val="24"/>
          <w:szCs w:val="24"/>
          <w:lang w:eastAsia="en-US"/>
        </w:rPr>
        <w:t>bind</w:t>
      </w:r>
      <w:proofErr w:type="gramEnd"/>
      <w:r w:rsidRPr="00BF440D">
        <w:rPr>
          <w:rFonts w:ascii="Cambria" w:eastAsia="宋体" w:hAnsi="Cambria" w:cs="Times New Roman"/>
          <w:kern w:val="0"/>
          <w:sz w:val="24"/>
          <w:szCs w:val="24"/>
          <w:lang w:eastAsia="en-US"/>
        </w:rPr>
        <w:t xml:space="preserve"> to receptors at the cell surface, and recruit two type I receptors and two type II receptors forming a tetrameric complex. Activated TGF-beta superfamily receptors induce a series of phosphorylation cascade, from receptor phosphorylation to subsequent phosphorylation and activation of downstream signal transducer R-</w:t>
      </w:r>
      <w:proofErr w:type="spellStart"/>
      <w:r w:rsidRPr="00BF440D">
        <w:rPr>
          <w:rFonts w:ascii="Cambria" w:eastAsia="宋体" w:hAnsi="Cambria" w:cs="Times New Roman"/>
          <w:kern w:val="0"/>
          <w:sz w:val="24"/>
          <w:szCs w:val="24"/>
          <w:lang w:eastAsia="en-US"/>
        </w:rPr>
        <w:t>Smads</w:t>
      </w:r>
      <w:proofErr w:type="spellEnd"/>
      <w:r w:rsidRPr="00BF440D">
        <w:rPr>
          <w:rFonts w:ascii="Cambria" w:eastAsia="宋体" w:hAnsi="Cambria" w:cs="Times New Roman"/>
          <w:kern w:val="0"/>
          <w:sz w:val="24"/>
          <w:szCs w:val="24"/>
          <w:lang w:eastAsia="en-US"/>
        </w:rPr>
        <w:t xml:space="preserve"> (receptor-activated </w:t>
      </w:r>
      <w:proofErr w:type="spellStart"/>
      <w:r w:rsidRPr="00BF440D">
        <w:rPr>
          <w:rFonts w:ascii="Cambria" w:eastAsia="宋体" w:hAnsi="Cambria" w:cs="Times New Roman"/>
          <w:kern w:val="0"/>
          <w:sz w:val="24"/>
          <w:szCs w:val="24"/>
          <w:lang w:eastAsia="en-US"/>
        </w:rPr>
        <w:t>Smads</w:t>
      </w:r>
      <w:proofErr w:type="spellEnd"/>
      <w:r w:rsidRPr="00BF440D">
        <w:rPr>
          <w:rFonts w:ascii="Cambria" w:eastAsia="宋体" w:hAnsi="Cambria" w:cs="Times New Roman"/>
          <w:kern w:val="0"/>
          <w:sz w:val="24"/>
          <w:szCs w:val="24"/>
          <w:lang w:eastAsia="en-US"/>
        </w:rPr>
        <w:t>). Phosphorylated R-</w:t>
      </w:r>
      <w:proofErr w:type="spellStart"/>
      <w:r w:rsidRPr="00BF440D">
        <w:rPr>
          <w:rFonts w:ascii="Cambria" w:eastAsia="宋体" w:hAnsi="Cambria" w:cs="Times New Roman"/>
          <w:kern w:val="0"/>
          <w:sz w:val="24"/>
          <w:szCs w:val="24"/>
          <w:lang w:eastAsia="en-US"/>
        </w:rPr>
        <w:t>Smads</w:t>
      </w:r>
      <w:proofErr w:type="spellEnd"/>
      <w:r w:rsidRPr="00BF440D">
        <w:rPr>
          <w:rFonts w:ascii="Cambria" w:eastAsia="宋体" w:hAnsi="Cambria" w:cs="Times New Roman"/>
          <w:kern w:val="0"/>
          <w:sz w:val="24"/>
          <w:szCs w:val="24"/>
          <w:lang w:eastAsia="en-US"/>
        </w:rPr>
        <w:t xml:space="preserve"> form a </w:t>
      </w:r>
      <w:proofErr w:type="spellStart"/>
      <w:r w:rsidRPr="00BF440D">
        <w:rPr>
          <w:rFonts w:ascii="Cambria" w:eastAsia="宋体" w:hAnsi="Cambria" w:cs="Times New Roman"/>
          <w:kern w:val="0"/>
          <w:sz w:val="24"/>
          <w:szCs w:val="24"/>
          <w:lang w:eastAsia="en-US"/>
        </w:rPr>
        <w:t>heteroligomeric</w:t>
      </w:r>
      <w:proofErr w:type="spellEnd"/>
      <w:r w:rsidRPr="00BF440D">
        <w:rPr>
          <w:rFonts w:ascii="Cambria" w:eastAsia="宋体" w:hAnsi="Cambria" w:cs="Times New Roman"/>
          <w:kern w:val="0"/>
          <w:sz w:val="24"/>
          <w:szCs w:val="24"/>
          <w:lang w:eastAsia="en-US"/>
        </w:rPr>
        <w:t xml:space="preserve"> (often trimeric) complex with Smad4 (Co-</w:t>
      </w:r>
      <w:proofErr w:type="spellStart"/>
      <w:r w:rsidRPr="00BF440D">
        <w:rPr>
          <w:rFonts w:ascii="Cambria" w:eastAsia="宋体" w:hAnsi="Cambria" w:cs="Times New Roman"/>
          <w:kern w:val="0"/>
          <w:sz w:val="24"/>
          <w:szCs w:val="24"/>
          <w:lang w:eastAsia="en-US"/>
        </w:rPr>
        <w:t>Smad</w:t>
      </w:r>
      <w:proofErr w:type="spellEnd"/>
      <w:r w:rsidRPr="00BF440D">
        <w:rPr>
          <w:rFonts w:ascii="Cambria" w:eastAsia="宋体" w:hAnsi="Cambria" w:cs="Times New Roman"/>
          <w:kern w:val="0"/>
          <w:sz w:val="24"/>
          <w:szCs w:val="24"/>
          <w:lang w:eastAsia="en-US"/>
        </w:rPr>
        <w:t xml:space="preserve">). The </w:t>
      </w:r>
      <w:proofErr w:type="spellStart"/>
      <w:r w:rsidRPr="00BF440D">
        <w:rPr>
          <w:rFonts w:ascii="Cambria" w:eastAsia="宋体" w:hAnsi="Cambria" w:cs="Times New Roman"/>
          <w:kern w:val="0"/>
          <w:sz w:val="24"/>
          <w:szCs w:val="24"/>
          <w:lang w:eastAsia="en-US"/>
        </w:rPr>
        <w:t>Smad</w:t>
      </w:r>
      <w:proofErr w:type="spellEnd"/>
      <w:r w:rsidRPr="00BF440D">
        <w:rPr>
          <w:rFonts w:ascii="Cambria" w:eastAsia="宋体" w:hAnsi="Cambria" w:cs="Times New Roman"/>
          <w:kern w:val="0"/>
          <w:sz w:val="24"/>
          <w:szCs w:val="24"/>
          <w:lang w:eastAsia="en-US"/>
        </w:rPr>
        <w:t xml:space="preserve"> complex is imported into the nucleus and regulates the expression of target genes by direct binding to the target gene promoter and/or through the interaction with transcriptional cofactors in a cell-type-specific manner.</w:t>
      </w:r>
    </w:p>
    <w:p w14:paraId="149E7FCC" w14:textId="77777777" w:rsidR="006E1B77" w:rsidRPr="00BF440D" w:rsidRDefault="006E1B77" w:rsidP="006E1B77">
      <w:pPr>
        <w:rPr>
          <w:rFonts w:ascii="Cambria" w:eastAsia="宋体" w:hAnsi="Cambria" w:cs="Times New Roman"/>
          <w:kern w:val="0"/>
          <w:sz w:val="24"/>
          <w:szCs w:val="24"/>
          <w:lang w:eastAsia="en-US"/>
        </w:rPr>
      </w:pPr>
      <w:r w:rsidRPr="00BF440D">
        <w:rPr>
          <w:rFonts w:ascii="Cambria" w:eastAsia="宋体" w:hAnsi="Cambria" w:cs="Times New Roman"/>
          <w:kern w:val="0"/>
          <w:sz w:val="24"/>
          <w:szCs w:val="24"/>
          <w:lang w:eastAsia="en-US"/>
        </w:rPr>
        <w:t>https://www.sinobiological.com/pathways/tgf-beta-pathway</w:t>
      </w:r>
    </w:p>
    <w:p w14:paraId="1F995F85" w14:textId="77777777" w:rsidR="006E1B77" w:rsidRDefault="006E1B77" w:rsidP="006E1B77">
      <w:bookmarkStart w:id="0" w:name="_GoBack"/>
      <w:r>
        <w:rPr>
          <w:noProof/>
        </w:rPr>
        <w:lastRenderedPageBreak/>
        <w:drawing>
          <wp:inline distT="0" distB="0" distL="0" distR="0" wp14:anchorId="22C3592E" wp14:editId="695059D9">
            <wp:extent cx="5894430" cy="62712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0480" cy="6298975"/>
                    </a:xfrm>
                    <a:prstGeom prst="rect">
                      <a:avLst/>
                    </a:prstGeom>
                    <a:noFill/>
                    <a:ln>
                      <a:noFill/>
                    </a:ln>
                  </pic:spPr>
                </pic:pic>
              </a:graphicData>
            </a:graphic>
          </wp:inline>
        </w:drawing>
      </w:r>
      <w:bookmarkEnd w:id="0"/>
    </w:p>
    <w:p w14:paraId="59F243D0" w14:textId="77777777" w:rsidR="006E1B77" w:rsidRDefault="006E1B77" w:rsidP="006E1B77">
      <w:pPr>
        <w:pStyle w:val="4"/>
      </w:pPr>
      <w:proofErr w:type="spellStart"/>
      <w:r>
        <w:rPr>
          <w:rFonts w:hint="eastAsia"/>
        </w:rPr>
        <w:t>Wnt</w:t>
      </w:r>
      <w:proofErr w:type="spellEnd"/>
      <w:r>
        <w:rPr>
          <w:rFonts w:hint="eastAsia"/>
        </w:rPr>
        <w:t>-β-catenin</w:t>
      </w:r>
    </w:p>
    <w:p w14:paraId="3E205BE1" w14:textId="77777777" w:rsidR="006E1B77" w:rsidRPr="00BF440D" w:rsidRDefault="006E1B77" w:rsidP="006E1B77">
      <w:pPr>
        <w:rPr>
          <w:rFonts w:ascii="Cambria" w:eastAsia="宋体" w:hAnsi="Cambria" w:cs="Times New Roman"/>
          <w:kern w:val="0"/>
          <w:sz w:val="24"/>
          <w:szCs w:val="24"/>
          <w:lang w:eastAsia="en-US"/>
        </w:rPr>
      </w:pPr>
      <w:r w:rsidRPr="00BF440D">
        <w:rPr>
          <w:rFonts w:ascii="Cambria" w:eastAsia="宋体" w:hAnsi="Cambria" w:cs="Times New Roman"/>
          <w:kern w:val="0"/>
          <w:sz w:val="24"/>
          <w:szCs w:val="24"/>
          <w:lang w:eastAsia="en-US"/>
        </w:rPr>
        <w:t>Receptor</w:t>
      </w:r>
      <w:r w:rsidRPr="00BF440D">
        <w:rPr>
          <w:rFonts w:ascii="Cambria" w:eastAsia="宋体" w:hAnsi="Cambria" w:cs="Times New Roman"/>
          <w:kern w:val="0"/>
          <w:sz w:val="24"/>
          <w:szCs w:val="24"/>
          <w:lang w:eastAsia="en-US"/>
        </w:rPr>
        <w:t>：</w:t>
      </w:r>
      <w:r w:rsidRPr="00BF440D">
        <w:rPr>
          <w:rFonts w:ascii="Cambria" w:eastAsia="宋体" w:hAnsi="Cambria" w:cs="Times New Roman"/>
          <w:kern w:val="0"/>
          <w:sz w:val="24"/>
          <w:szCs w:val="24"/>
          <w:lang w:eastAsia="en-US"/>
        </w:rPr>
        <w:t>FZD-5</w:t>
      </w:r>
    </w:p>
    <w:p w14:paraId="7A718DFE" w14:textId="77777777" w:rsidR="006E1B77" w:rsidRPr="00BF440D" w:rsidRDefault="006E1B77" w:rsidP="006E1B77">
      <w:pPr>
        <w:rPr>
          <w:rFonts w:ascii="Cambria" w:eastAsia="宋体" w:hAnsi="Cambria" w:cs="Times New Roman"/>
          <w:kern w:val="0"/>
          <w:sz w:val="24"/>
          <w:szCs w:val="24"/>
          <w:lang w:eastAsia="en-US"/>
        </w:rPr>
      </w:pPr>
      <w:r w:rsidRPr="00BF440D">
        <w:rPr>
          <w:rFonts w:ascii="Cambria" w:eastAsia="宋体" w:hAnsi="Cambria" w:cs="Times New Roman"/>
          <w:kern w:val="0"/>
          <w:sz w:val="24"/>
          <w:szCs w:val="24"/>
          <w:lang w:eastAsia="en-US"/>
        </w:rPr>
        <w:t>Downstream</w:t>
      </w:r>
      <w:r w:rsidRPr="00BF440D">
        <w:rPr>
          <w:rFonts w:ascii="Cambria" w:eastAsia="宋体" w:hAnsi="Cambria" w:cs="Times New Roman"/>
          <w:kern w:val="0"/>
          <w:sz w:val="24"/>
          <w:szCs w:val="24"/>
          <w:lang w:eastAsia="en-US"/>
        </w:rPr>
        <w:t>：</w:t>
      </w:r>
      <w:r w:rsidRPr="00BF440D">
        <w:rPr>
          <w:rFonts w:ascii="Cambria" w:eastAsia="宋体" w:hAnsi="Cambria" w:cs="Times New Roman"/>
          <w:kern w:val="0"/>
          <w:sz w:val="24"/>
          <w:szCs w:val="24"/>
          <w:lang w:eastAsia="en-US"/>
        </w:rPr>
        <w:t>DVL-1——β-catenin</w:t>
      </w:r>
      <w:r w:rsidRPr="00BF440D">
        <w:rPr>
          <w:rFonts w:ascii="Cambria" w:eastAsia="宋体" w:hAnsi="Cambria" w:cs="Times New Roman"/>
          <w:kern w:val="0"/>
          <w:sz w:val="24"/>
          <w:szCs w:val="24"/>
          <w:lang w:eastAsia="en-US"/>
        </w:rPr>
        <w:t>（</w:t>
      </w:r>
      <w:r w:rsidRPr="00BF440D">
        <w:rPr>
          <w:rFonts w:ascii="Cambria" w:eastAsia="宋体" w:hAnsi="Cambria" w:cs="Times New Roman"/>
          <w:kern w:val="0"/>
          <w:sz w:val="24"/>
          <w:szCs w:val="24"/>
          <w:lang w:eastAsia="en-US"/>
        </w:rPr>
        <w:t>CTNNB1</w:t>
      </w:r>
      <w:r w:rsidRPr="00BF440D">
        <w:rPr>
          <w:rFonts w:ascii="Cambria" w:eastAsia="宋体" w:hAnsi="Cambria" w:cs="Times New Roman"/>
          <w:kern w:val="0"/>
          <w:sz w:val="24"/>
          <w:szCs w:val="24"/>
          <w:lang w:eastAsia="en-US"/>
        </w:rPr>
        <w:t>）</w:t>
      </w:r>
    </w:p>
    <w:p w14:paraId="71613F82" w14:textId="77777777" w:rsidR="006E1B77" w:rsidRPr="00BF440D" w:rsidRDefault="006E1B77" w:rsidP="006E1B77">
      <w:pPr>
        <w:rPr>
          <w:rFonts w:ascii="Cambria" w:eastAsia="宋体" w:hAnsi="Cambria" w:cs="Times New Roman"/>
          <w:kern w:val="0"/>
          <w:sz w:val="24"/>
          <w:szCs w:val="24"/>
          <w:lang w:eastAsia="en-US"/>
        </w:rPr>
      </w:pPr>
      <w:proofErr w:type="spellStart"/>
      <w:r w:rsidRPr="00BF440D">
        <w:rPr>
          <w:rFonts w:ascii="Cambria" w:eastAsia="宋体" w:hAnsi="Cambria" w:cs="Times New Roman"/>
          <w:kern w:val="0"/>
          <w:sz w:val="24"/>
          <w:szCs w:val="24"/>
          <w:lang w:eastAsia="en-US"/>
        </w:rPr>
        <w:t>Wnt</w:t>
      </w:r>
      <w:proofErr w:type="spellEnd"/>
      <w:r w:rsidRPr="00BF440D">
        <w:rPr>
          <w:rFonts w:ascii="Cambria" w:eastAsia="宋体" w:hAnsi="Cambria" w:cs="Times New Roman"/>
          <w:kern w:val="0"/>
          <w:sz w:val="24"/>
          <w:szCs w:val="24"/>
          <w:lang w:eastAsia="en-US"/>
        </w:rPr>
        <w:t xml:space="preserve"> pathways are involved in the control of gene expression, cell behavior, cell adhesion, and cell polarity. The Canonical (β-Catenin-Dependent) </w:t>
      </w:r>
      <w:proofErr w:type="spellStart"/>
      <w:r w:rsidRPr="00BF440D">
        <w:rPr>
          <w:rFonts w:ascii="Cambria" w:eastAsia="宋体" w:hAnsi="Cambria" w:cs="Times New Roman"/>
          <w:kern w:val="0"/>
          <w:sz w:val="24"/>
          <w:szCs w:val="24"/>
          <w:lang w:eastAsia="en-US"/>
        </w:rPr>
        <w:t>Wnt</w:t>
      </w:r>
      <w:proofErr w:type="spellEnd"/>
      <w:r w:rsidRPr="00BF440D">
        <w:rPr>
          <w:rFonts w:ascii="Cambria" w:eastAsia="宋体" w:hAnsi="Cambria" w:cs="Times New Roman"/>
          <w:kern w:val="0"/>
          <w:sz w:val="24"/>
          <w:szCs w:val="24"/>
          <w:lang w:eastAsia="en-US"/>
        </w:rPr>
        <w:t xml:space="preserve"> Signaling pathway is the best studied of the </w:t>
      </w:r>
      <w:proofErr w:type="spellStart"/>
      <w:r w:rsidRPr="00BF440D">
        <w:rPr>
          <w:rFonts w:ascii="Cambria" w:eastAsia="宋体" w:hAnsi="Cambria" w:cs="Times New Roman"/>
          <w:kern w:val="0"/>
          <w:sz w:val="24"/>
          <w:szCs w:val="24"/>
          <w:lang w:eastAsia="en-US"/>
        </w:rPr>
        <w:t>Wnt</w:t>
      </w:r>
      <w:proofErr w:type="spellEnd"/>
      <w:r w:rsidRPr="00BF440D">
        <w:rPr>
          <w:rFonts w:ascii="Cambria" w:eastAsia="宋体" w:hAnsi="Cambria" w:cs="Times New Roman"/>
          <w:kern w:val="0"/>
          <w:sz w:val="24"/>
          <w:szCs w:val="24"/>
          <w:lang w:eastAsia="en-US"/>
        </w:rPr>
        <w:t xml:space="preserve"> pathways and is highly conserved through evolution. In this pathway, </w:t>
      </w:r>
      <w:proofErr w:type="spellStart"/>
      <w:r w:rsidRPr="00BF440D">
        <w:rPr>
          <w:rFonts w:ascii="Cambria" w:eastAsia="宋体" w:hAnsi="Cambria" w:cs="Times New Roman"/>
          <w:kern w:val="0"/>
          <w:sz w:val="24"/>
          <w:szCs w:val="24"/>
          <w:lang w:eastAsia="en-US"/>
        </w:rPr>
        <w:t>Wnt</w:t>
      </w:r>
      <w:proofErr w:type="spellEnd"/>
      <w:r w:rsidRPr="00BF440D">
        <w:rPr>
          <w:rFonts w:ascii="Cambria" w:eastAsia="宋体" w:hAnsi="Cambria" w:cs="Times New Roman"/>
          <w:kern w:val="0"/>
          <w:sz w:val="24"/>
          <w:szCs w:val="24"/>
          <w:lang w:eastAsia="en-US"/>
        </w:rPr>
        <w:t xml:space="preserve"> signaling inhibits the degradation of β-catenin, which can regulate transcription of a number of genes. </w:t>
      </w:r>
      <w:proofErr w:type="spellStart"/>
      <w:r w:rsidRPr="00BF440D">
        <w:rPr>
          <w:rFonts w:ascii="Cambria" w:eastAsia="宋体" w:hAnsi="Cambria" w:cs="Times New Roman"/>
          <w:kern w:val="0"/>
          <w:sz w:val="24"/>
          <w:szCs w:val="24"/>
          <w:lang w:eastAsia="en-US"/>
        </w:rPr>
        <w:t>Wnt</w:t>
      </w:r>
      <w:proofErr w:type="spellEnd"/>
      <w:r w:rsidRPr="00BF440D">
        <w:rPr>
          <w:rFonts w:ascii="Cambria" w:eastAsia="宋体" w:hAnsi="Cambria" w:cs="Times New Roman"/>
          <w:kern w:val="0"/>
          <w:sz w:val="24"/>
          <w:szCs w:val="24"/>
          <w:lang w:eastAsia="en-US"/>
        </w:rPr>
        <w:t xml:space="preserve"> signaling is activated via ligation of </w:t>
      </w:r>
      <w:proofErr w:type="spellStart"/>
      <w:r w:rsidRPr="00BF440D">
        <w:rPr>
          <w:rFonts w:ascii="Cambria" w:eastAsia="宋体" w:hAnsi="Cambria" w:cs="Times New Roman"/>
          <w:kern w:val="0"/>
          <w:sz w:val="24"/>
          <w:szCs w:val="24"/>
          <w:lang w:eastAsia="en-US"/>
        </w:rPr>
        <w:t>Wnt</w:t>
      </w:r>
      <w:proofErr w:type="spellEnd"/>
      <w:r w:rsidRPr="00BF440D">
        <w:rPr>
          <w:rFonts w:ascii="Cambria" w:eastAsia="宋体" w:hAnsi="Cambria" w:cs="Times New Roman"/>
          <w:kern w:val="0"/>
          <w:sz w:val="24"/>
          <w:szCs w:val="24"/>
          <w:lang w:eastAsia="en-US"/>
        </w:rPr>
        <w:t xml:space="preserve"> proteins to their respective dimeric cell surface receptors </w:t>
      </w:r>
      <w:r w:rsidRPr="00BF440D">
        <w:rPr>
          <w:rFonts w:ascii="Cambria" w:eastAsia="宋体" w:hAnsi="Cambria" w:cs="Times New Roman"/>
          <w:kern w:val="0"/>
          <w:sz w:val="24"/>
          <w:szCs w:val="24"/>
          <w:lang w:eastAsia="en-US"/>
        </w:rPr>
        <w:lastRenderedPageBreak/>
        <w:t>composed of the seven transmembrane frizzled proteins and the LRP5/6. Upon ligation to their receptors, the cytoplasmic protein disheveled (</w:t>
      </w:r>
      <w:proofErr w:type="spellStart"/>
      <w:r w:rsidRPr="00BF440D">
        <w:rPr>
          <w:rFonts w:ascii="Cambria" w:eastAsia="宋体" w:hAnsi="Cambria" w:cs="Times New Roman"/>
          <w:kern w:val="0"/>
          <w:sz w:val="24"/>
          <w:szCs w:val="24"/>
          <w:lang w:eastAsia="en-US"/>
        </w:rPr>
        <w:t>Dvl</w:t>
      </w:r>
      <w:proofErr w:type="spellEnd"/>
      <w:r w:rsidRPr="00BF440D">
        <w:rPr>
          <w:rFonts w:ascii="Cambria" w:eastAsia="宋体" w:hAnsi="Cambria" w:cs="Times New Roman"/>
          <w:kern w:val="0"/>
          <w:sz w:val="24"/>
          <w:szCs w:val="24"/>
          <w:lang w:eastAsia="en-US"/>
        </w:rPr>
        <w:t xml:space="preserve">) is recruited, phosphorylated and activated. Activation of </w:t>
      </w:r>
      <w:proofErr w:type="spellStart"/>
      <w:r w:rsidRPr="00BF440D">
        <w:rPr>
          <w:rFonts w:ascii="Cambria" w:eastAsia="宋体" w:hAnsi="Cambria" w:cs="Times New Roman"/>
          <w:kern w:val="0"/>
          <w:sz w:val="24"/>
          <w:szCs w:val="24"/>
          <w:lang w:eastAsia="en-US"/>
        </w:rPr>
        <w:t>Dvl</w:t>
      </w:r>
      <w:proofErr w:type="spellEnd"/>
      <w:r w:rsidRPr="00BF440D">
        <w:rPr>
          <w:rFonts w:ascii="Cambria" w:eastAsia="宋体" w:hAnsi="Cambria" w:cs="Times New Roman"/>
          <w:kern w:val="0"/>
          <w:sz w:val="24"/>
          <w:szCs w:val="24"/>
          <w:lang w:eastAsia="en-US"/>
        </w:rPr>
        <w:t xml:space="preserve"> induces the dissociation of GSK-3β from </w:t>
      </w:r>
      <w:proofErr w:type="spellStart"/>
      <w:r w:rsidRPr="00BF440D">
        <w:rPr>
          <w:rFonts w:ascii="Cambria" w:eastAsia="宋体" w:hAnsi="Cambria" w:cs="Times New Roman"/>
          <w:kern w:val="0"/>
          <w:sz w:val="24"/>
          <w:szCs w:val="24"/>
          <w:lang w:eastAsia="en-US"/>
        </w:rPr>
        <w:t>Axin</w:t>
      </w:r>
      <w:proofErr w:type="spellEnd"/>
      <w:r w:rsidRPr="00BF440D">
        <w:rPr>
          <w:rFonts w:ascii="Cambria" w:eastAsia="宋体" w:hAnsi="Cambria" w:cs="Times New Roman"/>
          <w:kern w:val="0"/>
          <w:sz w:val="24"/>
          <w:szCs w:val="24"/>
          <w:lang w:eastAsia="en-US"/>
        </w:rPr>
        <w:t xml:space="preserve"> and leads to the inhibition of GSK-3β. Next, the phosphorylation and degradation of β-catenin is inhibited as a result of the inactivation of the "destruction complex". Subsequently, stabilized β-catenin </w:t>
      </w:r>
      <w:proofErr w:type="spellStart"/>
      <w:r w:rsidRPr="00BF440D">
        <w:rPr>
          <w:rFonts w:ascii="Cambria" w:eastAsia="宋体" w:hAnsi="Cambria" w:cs="Times New Roman"/>
          <w:kern w:val="0"/>
          <w:sz w:val="24"/>
          <w:szCs w:val="24"/>
          <w:lang w:eastAsia="en-US"/>
        </w:rPr>
        <w:t>translocates</w:t>
      </w:r>
      <w:proofErr w:type="spellEnd"/>
      <w:r w:rsidRPr="00BF440D">
        <w:rPr>
          <w:rFonts w:ascii="Cambria" w:eastAsia="宋体" w:hAnsi="Cambria" w:cs="Times New Roman"/>
          <w:kern w:val="0"/>
          <w:sz w:val="24"/>
          <w:szCs w:val="24"/>
          <w:lang w:eastAsia="en-US"/>
        </w:rPr>
        <w:t xml:space="preserve"> into the nucleus leading to changes in different target gene expressions.</w:t>
      </w:r>
    </w:p>
    <w:p w14:paraId="3ACE5058" w14:textId="77777777" w:rsidR="006E1B77" w:rsidRPr="00BF440D" w:rsidRDefault="006E1B77" w:rsidP="006E1B77">
      <w:pPr>
        <w:rPr>
          <w:rFonts w:ascii="Cambria" w:eastAsia="宋体" w:hAnsi="Cambria" w:cs="Times New Roman"/>
          <w:kern w:val="0"/>
          <w:sz w:val="24"/>
          <w:szCs w:val="24"/>
          <w:lang w:eastAsia="en-US"/>
        </w:rPr>
      </w:pPr>
      <w:r w:rsidRPr="00BF440D">
        <w:rPr>
          <w:rFonts w:ascii="Cambria" w:eastAsia="宋体" w:hAnsi="Cambria" w:cs="Times New Roman"/>
          <w:kern w:val="0"/>
          <w:sz w:val="24"/>
          <w:szCs w:val="24"/>
          <w:lang w:eastAsia="en-US"/>
        </w:rPr>
        <w:t>https://www.sinobiological.com/pathways/canonical-wnt-pathway</w:t>
      </w:r>
    </w:p>
    <w:p w14:paraId="17ED0C06" w14:textId="77777777" w:rsidR="006E1B77" w:rsidRDefault="006E1B77" w:rsidP="006E1B77">
      <w:r>
        <w:rPr>
          <w:noProof/>
        </w:rPr>
        <w:drawing>
          <wp:inline distT="0" distB="0" distL="0" distR="0" wp14:anchorId="46F483CC" wp14:editId="2D70FB02">
            <wp:extent cx="2435382" cy="2728002"/>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45300" cy="2739111"/>
                    </a:xfrm>
                    <a:prstGeom prst="rect">
                      <a:avLst/>
                    </a:prstGeom>
                    <a:noFill/>
                    <a:ln>
                      <a:noFill/>
                    </a:ln>
                  </pic:spPr>
                </pic:pic>
              </a:graphicData>
            </a:graphic>
          </wp:inline>
        </w:drawing>
      </w:r>
    </w:p>
    <w:p w14:paraId="7BF303AA" w14:textId="77777777" w:rsidR="006E1B77" w:rsidRDefault="006E1B77" w:rsidP="006E1B77"/>
    <w:p w14:paraId="34E08785" w14:textId="77777777" w:rsidR="006E1B77" w:rsidRDefault="006E1B77" w:rsidP="006E1B77">
      <w:pPr>
        <w:pStyle w:val="4"/>
      </w:pPr>
      <w:r>
        <w:rPr>
          <w:rFonts w:hint="eastAsia"/>
        </w:rPr>
        <w:t>PI3K</w:t>
      </w:r>
    </w:p>
    <w:p w14:paraId="72C4DF86" w14:textId="257BEB83" w:rsidR="00B7013F" w:rsidRPr="00BF440D" w:rsidRDefault="006E1B77" w:rsidP="00B7013F">
      <w:pPr>
        <w:widowControl/>
        <w:spacing w:before="180" w:after="180"/>
        <w:rPr>
          <w:rFonts w:ascii="Cambria" w:eastAsia="宋体" w:hAnsi="Cambria" w:cs="Times New Roman"/>
          <w:kern w:val="0"/>
          <w:sz w:val="24"/>
          <w:szCs w:val="24"/>
          <w:lang w:eastAsia="en-US"/>
        </w:rPr>
      </w:pPr>
      <w:r w:rsidRPr="00BF440D">
        <w:rPr>
          <w:rFonts w:ascii="Cambria" w:eastAsia="宋体" w:hAnsi="Cambria" w:cs="Times New Roman"/>
          <w:kern w:val="0"/>
          <w:sz w:val="24"/>
          <w:szCs w:val="24"/>
          <w:lang w:eastAsia="en-US"/>
        </w:rPr>
        <w:t>Upon growth factor stimulation and subsequent activation of receptor tyrosine kinases (RTKs), class IA PI3Ks, consisting of p110α/p85, p110β/p85 and p110δ/p85, are recruited to the membrane via interaction of the p85 subunit to the activated receptors directly (</w:t>
      </w:r>
      <w:proofErr w:type="spellStart"/>
      <w:r w:rsidRPr="00BF440D">
        <w:rPr>
          <w:rFonts w:ascii="Cambria" w:eastAsia="宋体" w:hAnsi="Cambria" w:cs="Times New Roman"/>
          <w:kern w:val="0"/>
          <w:sz w:val="24"/>
          <w:szCs w:val="24"/>
          <w:lang w:eastAsia="en-US"/>
        </w:rPr>
        <w:t>e.</w:t>
      </w:r>
      <w:proofErr w:type="gramStart"/>
      <w:r w:rsidRPr="00BF440D">
        <w:rPr>
          <w:rFonts w:ascii="Cambria" w:eastAsia="宋体" w:hAnsi="Cambria" w:cs="Times New Roman"/>
          <w:kern w:val="0"/>
          <w:sz w:val="24"/>
          <w:szCs w:val="24"/>
          <w:lang w:eastAsia="en-US"/>
        </w:rPr>
        <w:t>g.PDGFR</w:t>
      </w:r>
      <w:proofErr w:type="spellEnd"/>
      <w:proofErr w:type="gramEnd"/>
      <w:r w:rsidRPr="00BF440D">
        <w:rPr>
          <w:rFonts w:ascii="Cambria" w:eastAsia="宋体" w:hAnsi="Cambria" w:cs="Times New Roman"/>
          <w:kern w:val="0"/>
          <w:sz w:val="24"/>
          <w:szCs w:val="24"/>
          <w:lang w:eastAsia="en-US"/>
        </w:rPr>
        <w:t xml:space="preserve">) or to adaptor proteins associated with the receptors (e.g. insulin receptor substrate 1, IRS1). The activated p110 catalytic subunit converts phosphatidylinositol-4,5-bisphosphate (PIP2) to phosphatidylinositol-3,4,5-triphosphate (PIP3) at the membrane, providing docking sites for signaling proteins with </w:t>
      </w:r>
      <w:proofErr w:type="spellStart"/>
      <w:r w:rsidRPr="00BF440D">
        <w:rPr>
          <w:rFonts w:ascii="Cambria" w:eastAsia="宋体" w:hAnsi="Cambria" w:cs="Times New Roman"/>
          <w:kern w:val="0"/>
          <w:sz w:val="24"/>
          <w:szCs w:val="24"/>
          <w:lang w:eastAsia="en-US"/>
        </w:rPr>
        <w:t>pleckstrin</w:t>
      </w:r>
      <w:proofErr w:type="spellEnd"/>
      <w:r w:rsidRPr="00BF440D">
        <w:rPr>
          <w:rFonts w:ascii="Cambria" w:eastAsia="宋体" w:hAnsi="Cambria" w:cs="Times New Roman"/>
          <w:kern w:val="0"/>
          <w:sz w:val="24"/>
          <w:szCs w:val="24"/>
          <w:lang w:eastAsia="en-US"/>
        </w:rPr>
        <w:t>-homolog</w:t>
      </w:r>
    </w:p>
    <w:p w14:paraId="5410BDAB" w14:textId="77777777" w:rsidR="006E1B77" w:rsidRPr="00BF440D" w:rsidRDefault="006E1B77" w:rsidP="00B7013F">
      <w:pPr>
        <w:widowControl/>
        <w:spacing w:before="180" w:after="180"/>
        <w:rPr>
          <w:rFonts w:ascii="Cambria" w:eastAsia="宋体" w:hAnsi="Cambria" w:cs="Times New Roman"/>
          <w:kern w:val="0"/>
          <w:sz w:val="24"/>
          <w:szCs w:val="24"/>
          <w:lang w:eastAsia="en-US"/>
        </w:rPr>
      </w:pPr>
      <w:r w:rsidRPr="00BF440D">
        <w:rPr>
          <w:rFonts w:ascii="Cambria" w:eastAsia="宋体" w:hAnsi="Cambria" w:cs="Times New Roman"/>
          <w:kern w:val="0"/>
          <w:sz w:val="24"/>
          <w:szCs w:val="24"/>
          <w:lang w:eastAsia="en-US"/>
        </w:rPr>
        <w:t>y (PH) domains including the phosphoinositide-dependent kinase 1 (PDK1) and the Ser-</w:t>
      </w:r>
      <w:proofErr w:type="spellStart"/>
      <w:r w:rsidRPr="00BF440D">
        <w:rPr>
          <w:rFonts w:ascii="Cambria" w:eastAsia="宋体" w:hAnsi="Cambria" w:cs="Times New Roman"/>
          <w:kern w:val="0"/>
          <w:sz w:val="24"/>
          <w:szCs w:val="24"/>
          <w:lang w:eastAsia="en-US"/>
        </w:rPr>
        <w:t>Thr</w:t>
      </w:r>
      <w:proofErr w:type="spellEnd"/>
      <w:r w:rsidRPr="00BF440D">
        <w:rPr>
          <w:rFonts w:ascii="Cambria" w:eastAsia="宋体" w:hAnsi="Cambria" w:cs="Times New Roman"/>
          <w:kern w:val="0"/>
          <w:sz w:val="24"/>
          <w:szCs w:val="24"/>
          <w:lang w:eastAsia="en-US"/>
        </w:rPr>
        <w:t xml:space="preserve"> kinase AKT. The activated AKT elicits a broad spectrum of downstream signaling events. Class IB PI3K (p110γ/p101) can be activated directly by G-protein coupled receptors (GPCRs) through interacting with the Gβγ subunit of trimeric G proteins. The p110β and p110δ can also be activated by GPCRs. PTEN (phosphatase and </w:t>
      </w:r>
      <w:proofErr w:type="spellStart"/>
      <w:r w:rsidRPr="00BF440D">
        <w:rPr>
          <w:rFonts w:ascii="Cambria" w:eastAsia="宋体" w:hAnsi="Cambria" w:cs="Times New Roman"/>
          <w:kern w:val="0"/>
          <w:sz w:val="24"/>
          <w:szCs w:val="24"/>
          <w:lang w:eastAsia="en-US"/>
        </w:rPr>
        <w:t>tensin</w:t>
      </w:r>
      <w:proofErr w:type="spellEnd"/>
      <w:r w:rsidRPr="00BF440D">
        <w:rPr>
          <w:rFonts w:ascii="Cambria" w:eastAsia="宋体" w:hAnsi="Cambria" w:cs="Times New Roman"/>
          <w:kern w:val="0"/>
          <w:sz w:val="24"/>
          <w:szCs w:val="24"/>
          <w:lang w:eastAsia="en-US"/>
        </w:rPr>
        <w:t xml:space="preserve"> homologue) antagonizes the PI3K action by dephosphorylating PIP3.</w:t>
      </w:r>
    </w:p>
    <w:p w14:paraId="214930C0" w14:textId="77777777" w:rsidR="006E1B77" w:rsidRPr="00BF440D" w:rsidRDefault="006E1B77" w:rsidP="00B7013F">
      <w:pPr>
        <w:widowControl/>
        <w:spacing w:before="180" w:after="180"/>
        <w:rPr>
          <w:rFonts w:ascii="Cambria" w:eastAsia="宋体" w:hAnsi="Cambria" w:cs="Times New Roman"/>
          <w:kern w:val="0"/>
          <w:sz w:val="24"/>
          <w:szCs w:val="24"/>
          <w:lang w:eastAsia="en-US"/>
        </w:rPr>
      </w:pPr>
      <w:r w:rsidRPr="00BF440D">
        <w:rPr>
          <w:rFonts w:ascii="Cambria" w:eastAsia="宋体" w:hAnsi="Cambria" w:cs="Times New Roman"/>
          <w:kern w:val="0"/>
          <w:sz w:val="24"/>
          <w:szCs w:val="24"/>
          <w:lang w:eastAsia="en-US"/>
        </w:rPr>
        <w:lastRenderedPageBreak/>
        <w:t>Phosphatidylinositol-3 kinase (PI3K) is one of the most important regulatory proteins that is involved in different signaling pathways and controlling of key functions of the cell. The PI3K pathway is deregulated in the majority of human cancers. In sporadic tumors and in cancer cell lines, there are numerous other genetic and epigenetic changes that have been extensively documented by the human cancer genome project</w:t>
      </w:r>
    </w:p>
    <w:p w14:paraId="0FDFF13F" w14:textId="77777777" w:rsidR="006E1B77" w:rsidRPr="00BF440D" w:rsidRDefault="00C45927" w:rsidP="00B7013F">
      <w:pPr>
        <w:widowControl/>
        <w:spacing w:before="180" w:after="180"/>
        <w:rPr>
          <w:rFonts w:ascii="Cambria" w:eastAsia="宋体" w:hAnsi="Cambria" w:cs="Times New Roman"/>
          <w:kern w:val="0"/>
          <w:sz w:val="24"/>
          <w:szCs w:val="24"/>
          <w:lang w:eastAsia="en-US"/>
        </w:rPr>
      </w:pPr>
      <w:hyperlink r:id="rId14" w:history="1">
        <w:r w:rsidR="006E1B77" w:rsidRPr="00BF440D">
          <w:rPr>
            <w:rFonts w:ascii="Cambria" w:eastAsia="宋体" w:hAnsi="Cambria" w:cs="Times New Roman"/>
            <w:kern w:val="0"/>
            <w:sz w:val="24"/>
            <w:szCs w:val="24"/>
            <w:lang w:eastAsia="en-US"/>
          </w:rPr>
          <w:t>https://www.sinobiological.com/research/enzymes/phosphatidylinositol-3-kinase</w:t>
        </w:r>
      </w:hyperlink>
    </w:p>
    <w:p w14:paraId="1D36B9E8" w14:textId="77777777" w:rsidR="006E1B77" w:rsidRPr="007E196C" w:rsidRDefault="006E1B77" w:rsidP="006E1B77">
      <w:r>
        <w:rPr>
          <w:noProof/>
        </w:rPr>
        <w:drawing>
          <wp:inline distT="0" distB="0" distL="0" distR="0" wp14:anchorId="625A43A8" wp14:editId="3BE26C42">
            <wp:extent cx="3838669" cy="385361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1826" cy="3866823"/>
                    </a:xfrm>
                    <a:prstGeom prst="rect">
                      <a:avLst/>
                    </a:prstGeom>
                    <a:noFill/>
                    <a:ln>
                      <a:noFill/>
                    </a:ln>
                  </pic:spPr>
                </pic:pic>
              </a:graphicData>
            </a:graphic>
          </wp:inline>
        </w:drawing>
      </w:r>
    </w:p>
    <w:p w14:paraId="5786BFB6" w14:textId="77777777" w:rsidR="006E1B77" w:rsidRPr="006E1B77" w:rsidRDefault="006E1B77" w:rsidP="006E1B77"/>
    <w:p w14:paraId="67759F6D" w14:textId="77777777" w:rsidR="006E1B77" w:rsidRDefault="006E1B77" w:rsidP="006E1B77">
      <w:pPr>
        <w:pStyle w:val="3"/>
      </w:pPr>
      <w:r>
        <w:rPr>
          <w:rFonts w:hint="eastAsia"/>
        </w:rPr>
        <w:t>A</w:t>
      </w:r>
      <w:r>
        <w:t xml:space="preserve">mount control </w:t>
      </w:r>
    </w:p>
    <w:p w14:paraId="26721189" w14:textId="77777777" w:rsidR="006E1B77" w:rsidRPr="00160236" w:rsidRDefault="006E1B77" w:rsidP="006E1B77">
      <w:pPr>
        <w:widowControl/>
        <w:spacing w:before="180" w:after="180"/>
        <w:rPr>
          <w:rFonts w:ascii="Cambria" w:eastAsia="宋体" w:hAnsi="Cambria" w:cs="Times New Roman"/>
          <w:kern w:val="0"/>
          <w:sz w:val="24"/>
          <w:szCs w:val="24"/>
          <w:lang w:eastAsia="en-US"/>
        </w:rPr>
      </w:pPr>
      <w:r w:rsidRPr="00160236">
        <w:rPr>
          <w:rFonts w:ascii="Cambria" w:eastAsia="宋体" w:hAnsi="Cambria" w:cs="Times New Roman"/>
          <w:kern w:val="0"/>
          <w:sz w:val="24"/>
          <w:szCs w:val="24"/>
          <w:lang w:eastAsia="en-US"/>
        </w:rPr>
        <w:t>In most researches, scientists normally tr</w:t>
      </w:r>
      <w:r>
        <w:rPr>
          <w:rFonts w:ascii="Cambria" w:eastAsia="宋体" w:hAnsi="Cambria" w:cs="Times New Roman"/>
          <w:kern w:val="0"/>
          <w:sz w:val="24"/>
          <w:szCs w:val="24"/>
          <w:lang w:eastAsia="en-US"/>
        </w:rPr>
        <w:t>y</w:t>
      </w:r>
      <w:r w:rsidRPr="00160236">
        <w:rPr>
          <w:rFonts w:ascii="Cambria" w:eastAsia="宋体" w:hAnsi="Cambria" w:cs="Times New Roman"/>
          <w:kern w:val="0"/>
          <w:sz w:val="24"/>
          <w:szCs w:val="24"/>
          <w:lang w:eastAsia="en-US"/>
        </w:rPr>
        <w:t xml:space="preserve"> to figure out the relationship between the variance and the pathway by testing the amount of the molecules of the</w:t>
      </w:r>
      <w:r>
        <w:rPr>
          <w:rFonts w:ascii="Cambria" w:eastAsia="宋体" w:hAnsi="Cambria" w:cs="Times New Roman"/>
          <w:kern w:val="0"/>
          <w:sz w:val="24"/>
          <w:szCs w:val="24"/>
          <w:lang w:eastAsia="en-US"/>
        </w:rPr>
        <w:t xml:space="preserve"> </w:t>
      </w:r>
      <w:r w:rsidRPr="00160236">
        <w:rPr>
          <w:rFonts w:ascii="Cambria" w:eastAsia="宋体" w:hAnsi="Cambria" w:cs="Times New Roman"/>
          <w:kern w:val="0"/>
          <w:sz w:val="24"/>
          <w:szCs w:val="24"/>
          <w:lang w:eastAsia="en-US"/>
        </w:rPr>
        <w:t>signal pathway. However, as we tr</w:t>
      </w:r>
      <w:r>
        <w:rPr>
          <w:rFonts w:ascii="Cambria" w:eastAsia="宋体" w:hAnsi="Cambria" w:cs="Times New Roman"/>
          <w:kern w:val="0"/>
          <w:sz w:val="24"/>
          <w:szCs w:val="24"/>
          <w:lang w:eastAsia="en-US"/>
        </w:rPr>
        <w:t>y</w:t>
      </w:r>
      <w:r w:rsidRPr="00160236">
        <w:rPr>
          <w:rFonts w:ascii="Cambria" w:eastAsia="宋体" w:hAnsi="Cambria" w:cs="Times New Roman"/>
          <w:kern w:val="0"/>
          <w:sz w:val="24"/>
          <w:szCs w:val="24"/>
          <w:lang w:eastAsia="en-US"/>
        </w:rPr>
        <w:t xml:space="preserve"> to use chambers in which dozens of cells are cultivated and secreting the proteins to simulate how the signal pathways carry on, the amount of the total cells may increase due to the cell division. Under such circumstance, the amount of the molecules will also show an increase. Therefore, we are not able to make a conclusion of the final results as we don't know whether the difference is caused by the variance we applied or the cell growth. </w:t>
      </w:r>
    </w:p>
    <w:p w14:paraId="01176EB1" w14:textId="77777777" w:rsidR="006E1B77" w:rsidRPr="00160236" w:rsidRDefault="006E1B77" w:rsidP="006E1B77">
      <w:pPr>
        <w:widowControl/>
        <w:spacing w:before="180" w:after="180"/>
        <w:rPr>
          <w:rFonts w:ascii="Cambria" w:eastAsia="宋体" w:hAnsi="Cambria" w:cs="Times New Roman"/>
          <w:kern w:val="0"/>
          <w:sz w:val="24"/>
          <w:szCs w:val="24"/>
          <w:lang w:eastAsia="en-US"/>
        </w:rPr>
      </w:pPr>
      <w:r w:rsidRPr="00160236">
        <w:rPr>
          <w:rFonts w:ascii="Cambria" w:eastAsia="宋体" w:hAnsi="Cambria" w:cs="Times New Roman"/>
          <w:kern w:val="0"/>
          <w:sz w:val="24"/>
          <w:szCs w:val="24"/>
          <w:lang w:eastAsia="en-US"/>
        </w:rPr>
        <w:lastRenderedPageBreak/>
        <w:t xml:space="preserve">To solve this problem, we are triggered by the quorum sensing system in bacteria. By using QS system, we are able to control the </w:t>
      </w:r>
      <w:proofErr w:type="gramStart"/>
      <w:r w:rsidRPr="00160236">
        <w:rPr>
          <w:rFonts w:ascii="Cambria" w:eastAsia="宋体" w:hAnsi="Cambria" w:cs="Times New Roman"/>
          <w:kern w:val="0"/>
          <w:sz w:val="24"/>
          <w:szCs w:val="24"/>
          <w:lang w:eastAsia="en-US"/>
        </w:rPr>
        <w:t>amount</w:t>
      </w:r>
      <w:proofErr w:type="gramEnd"/>
      <w:r w:rsidRPr="00160236">
        <w:rPr>
          <w:rFonts w:ascii="Cambria" w:eastAsia="宋体" w:hAnsi="Cambria" w:cs="Times New Roman"/>
          <w:kern w:val="0"/>
          <w:sz w:val="24"/>
          <w:szCs w:val="24"/>
          <w:lang w:eastAsia="en-US"/>
        </w:rPr>
        <w:t xml:space="preserve"> of cells in one chamber to a fixed range.</w:t>
      </w:r>
    </w:p>
    <w:p w14:paraId="7AFE3F6F" w14:textId="360BD31A" w:rsidR="006E1B77" w:rsidRPr="00160236" w:rsidRDefault="006E1B77" w:rsidP="006E1B77">
      <w:pPr>
        <w:widowControl/>
        <w:spacing w:before="180" w:after="180"/>
        <w:rPr>
          <w:rFonts w:ascii="Cambria" w:eastAsia="宋体" w:hAnsi="Cambria" w:cs="Times New Roman"/>
          <w:kern w:val="0"/>
          <w:sz w:val="24"/>
          <w:szCs w:val="24"/>
          <w:lang w:eastAsia="en-US"/>
        </w:rPr>
      </w:pPr>
      <w:r w:rsidRPr="00160236">
        <w:rPr>
          <w:rFonts w:ascii="Cambria" w:eastAsia="宋体" w:hAnsi="Cambria" w:cs="Times New Roman"/>
          <w:kern w:val="0"/>
          <w:sz w:val="24"/>
          <w:szCs w:val="24"/>
          <w:lang w:eastAsia="en-US"/>
        </w:rPr>
        <w:t xml:space="preserve">We create a set of pathways which are able to sense the amount of the signal molecules in the surrounding environment. When the level reaches to a threshold value which indicate the cell amount increase, the suicide mechanism will be triggered and cytotoxic protein </w:t>
      </w:r>
      <w:proofErr w:type="spellStart"/>
      <w:r w:rsidRPr="00160236">
        <w:rPr>
          <w:rFonts w:ascii="Cambria" w:eastAsia="宋体" w:hAnsi="Cambria" w:cs="Times New Roman"/>
          <w:kern w:val="0"/>
          <w:sz w:val="24"/>
          <w:szCs w:val="24"/>
          <w:lang w:eastAsia="en-US"/>
        </w:rPr>
        <w:t>ccdB</w:t>
      </w:r>
      <w:proofErr w:type="spellEnd"/>
      <w:r w:rsidRPr="00160236">
        <w:rPr>
          <w:rFonts w:ascii="Cambria" w:eastAsia="宋体" w:hAnsi="Cambria" w:cs="Times New Roman"/>
          <w:kern w:val="0"/>
          <w:sz w:val="24"/>
          <w:szCs w:val="24"/>
          <w:lang w:eastAsia="en-US"/>
        </w:rPr>
        <w:t xml:space="preserve"> will be expressed, killing the cell. Therefore</w:t>
      </w:r>
      <w:r>
        <w:rPr>
          <w:rFonts w:ascii="Cambria" w:eastAsia="宋体" w:hAnsi="Cambria" w:cs="Times New Roman"/>
          <w:kern w:val="0"/>
          <w:sz w:val="24"/>
          <w:szCs w:val="24"/>
          <w:lang w:eastAsia="en-US"/>
        </w:rPr>
        <w:t>,</w:t>
      </w:r>
      <w:r w:rsidRPr="00160236">
        <w:rPr>
          <w:rFonts w:ascii="Cambria" w:eastAsia="宋体" w:hAnsi="Cambria" w:cs="Times New Roman"/>
          <w:kern w:val="0"/>
          <w:sz w:val="24"/>
          <w:szCs w:val="24"/>
          <w:lang w:eastAsia="en-US"/>
        </w:rPr>
        <w:t xml:space="preserve"> the total amount of the cells in one chamber will be controlled. We firstly use C14-HSL/</w:t>
      </w:r>
      <w:proofErr w:type="spellStart"/>
      <w:r w:rsidRPr="00160236">
        <w:rPr>
          <w:rFonts w:ascii="Cambria" w:eastAsia="宋体" w:hAnsi="Cambria" w:cs="Times New Roman"/>
          <w:kern w:val="0"/>
          <w:sz w:val="24"/>
          <w:szCs w:val="24"/>
          <w:lang w:eastAsia="en-US"/>
        </w:rPr>
        <w:t>LuxI</w:t>
      </w:r>
      <w:proofErr w:type="spellEnd"/>
      <w:r w:rsidRPr="00160236">
        <w:rPr>
          <w:rFonts w:ascii="Cambria" w:eastAsia="宋体" w:hAnsi="Cambria" w:cs="Times New Roman"/>
          <w:kern w:val="0"/>
          <w:sz w:val="24"/>
          <w:szCs w:val="24"/>
          <w:lang w:eastAsia="en-US"/>
        </w:rPr>
        <w:t>/</w:t>
      </w:r>
      <w:proofErr w:type="spellStart"/>
      <w:r w:rsidRPr="00160236">
        <w:rPr>
          <w:rFonts w:ascii="Cambria" w:eastAsia="宋体" w:hAnsi="Cambria" w:cs="Times New Roman"/>
          <w:kern w:val="0"/>
          <w:sz w:val="24"/>
          <w:szCs w:val="24"/>
          <w:lang w:eastAsia="en-US"/>
        </w:rPr>
        <w:t>VjbR</w:t>
      </w:r>
      <w:proofErr w:type="spellEnd"/>
      <w:r w:rsidRPr="00160236">
        <w:rPr>
          <w:rFonts w:ascii="Cambria" w:eastAsia="宋体" w:hAnsi="Cambria" w:cs="Times New Roman"/>
          <w:kern w:val="0"/>
          <w:sz w:val="24"/>
          <w:szCs w:val="24"/>
          <w:lang w:eastAsia="en-US"/>
        </w:rPr>
        <w:t>/</w:t>
      </w:r>
      <w:proofErr w:type="spellStart"/>
      <w:r w:rsidRPr="00160236">
        <w:rPr>
          <w:rFonts w:ascii="Cambria" w:eastAsia="宋体" w:hAnsi="Cambria" w:cs="Times New Roman"/>
          <w:kern w:val="0"/>
          <w:sz w:val="24"/>
          <w:szCs w:val="24"/>
          <w:lang w:eastAsia="en-US"/>
        </w:rPr>
        <w:t>ccdB</w:t>
      </w:r>
      <w:proofErr w:type="spellEnd"/>
      <w:r w:rsidRPr="00160236">
        <w:rPr>
          <w:rFonts w:ascii="Cambria" w:eastAsia="宋体" w:hAnsi="Cambria" w:cs="Times New Roman"/>
          <w:kern w:val="0"/>
          <w:sz w:val="24"/>
          <w:szCs w:val="24"/>
          <w:lang w:eastAsia="en-US"/>
        </w:rPr>
        <w:t xml:space="preserve"> QS system to realize the design</w:t>
      </w:r>
      <w:r>
        <w:rPr>
          <w:rFonts w:ascii="Cambria" w:eastAsia="宋体" w:hAnsi="Cambria" w:cs="Times New Roman"/>
          <w:kern w:val="0"/>
          <w:sz w:val="24"/>
          <w:szCs w:val="24"/>
          <w:lang w:eastAsia="en-US"/>
        </w:rPr>
        <w:t xml:space="preserve"> </w:t>
      </w:r>
      <w:r>
        <w:rPr>
          <w:rFonts w:ascii="Cambria" w:eastAsia="宋体" w:hAnsi="Cambria" w:cs="Times New Roman"/>
          <w:kern w:val="0"/>
          <w:sz w:val="24"/>
          <w:szCs w:val="24"/>
          <w:lang w:eastAsia="en-US"/>
        </w:rPr>
        <w:fldChar w:fldCharType="begin"/>
      </w:r>
      <w:r>
        <w:rPr>
          <w:rFonts w:ascii="Cambria" w:eastAsia="宋体" w:hAnsi="Cambria" w:cs="Times New Roman"/>
          <w:kern w:val="0"/>
          <w:sz w:val="24"/>
          <w:szCs w:val="24"/>
          <w:lang w:eastAsia="en-US"/>
        </w:rPr>
        <w:instrText xml:space="preserve"> ADDIN ZOTERO_ITEM CSL_CITATION {"citationID":"quswjnLB","properties":{"formattedCitation":"(Ball et al., 2017)","plainCitation":"(Ball et al., 2017)","noteIndex":0},"citationItems":[{"id":269,"uris":["http://zotero.org/users/6732890/items/9BVFQ948"],"uri":["http://zotero.org/users/6732890/items/9BVFQ948"],"itemData":{"id":269,"type":"article-journal","abstract":"The coordination of group behaviors in bacteria is accomplished via the cell-cell signaling process called quorum sensing. Vibrios have historically been models for studying bacterial communication due to the diverse and remarkable behaviors controlled by quorum sensing in these bacteria, including bioluminescence, type III and type VI secretion, biofilm formation, and motility. Here, we discuss the Vibrio LuxR/HapR family of proteins, the master global transcription factors that direct downstream gene expression in response to changes in cell density. These proteins are structurally similar to TetR transcription factors but exhibit distinct biochemical and genetic features from TetR that determine their regulatory influence on the quorum sensing gene network. We review here the gene groups regulated by LuxR/HapR and quorum sensing and explore the targets that are common and unique among Vibrio species.","container-title":"Journal of Bacteriology","DOI":"10.1128/JB.00105-17","ISSN":"1098-5530","issue":"19","journalAbbreviation":"J Bacteriol","language":"eng","note":"PMID: 28484045\nPMCID: PMC5585708","source":"PubMed","title":"Quorum Sensing Gene Regulation by LuxR/HapR Master Regulators in Vibrios","volume":"199","author":[{"family":"Ball","given":"Alyssa S."},{"family":"Chaparian","given":"Ryan R."},{"family":"Kessel","given":"Julia C.","non-dropping-particle":"van"}],"issued":{"date-parts":[["2017",10,1]]}}}],"schema":"https://github.com/citation-style-language/schema/raw/master/csl-citation.json"} </w:instrText>
      </w:r>
      <w:r>
        <w:rPr>
          <w:rFonts w:ascii="Cambria" w:eastAsia="宋体" w:hAnsi="Cambria" w:cs="Times New Roman"/>
          <w:kern w:val="0"/>
          <w:sz w:val="24"/>
          <w:szCs w:val="24"/>
          <w:lang w:eastAsia="en-US"/>
        </w:rPr>
        <w:fldChar w:fldCharType="separate"/>
      </w:r>
      <w:r w:rsidR="00FB45FE" w:rsidRPr="00FB45FE">
        <w:rPr>
          <w:rFonts w:ascii="Cambria" w:hAnsi="Cambria"/>
          <w:sz w:val="24"/>
        </w:rPr>
        <w:t>(Ball et al., 2017)</w:t>
      </w:r>
      <w:r>
        <w:rPr>
          <w:rFonts w:ascii="Cambria" w:eastAsia="宋体" w:hAnsi="Cambria" w:cs="Times New Roman"/>
          <w:kern w:val="0"/>
          <w:sz w:val="24"/>
          <w:szCs w:val="24"/>
          <w:lang w:eastAsia="en-US"/>
        </w:rPr>
        <w:fldChar w:fldCharType="end"/>
      </w:r>
      <w:r w:rsidRPr="00160236">
        <w:rPr>
          <w:rFonts w:ascii="Cambria" w:eastAsia="宋体" w:hAnsi="Cambria" w:cs="Times New Roman"/>
          <w:kern w:val="0"/>
          <w:sz w:val="24"/>
          <w:szCs w:val="24"/>
          <w:lang w:eastAsia="en-US"/>
        </w:rPr>
        <w:t xml:space="preserve">. </w:t>
      </w:r>
    </w:p>
    <w:p w14:paraId="06D47BF1" w14:textId="77777777" w:rsidR="006E1B77" w:rsidRPr="00160236" w:rsidRDefault="006E1B77" w:rsidP="006E1B77">
      <w:pPr>
        <w:widowControl/>
        <w:spacing w:before="180" w:after="180"/>
        <w:jc w:val="left"/>
        <w:rPr>
          <w:rFonts w:ascii="Cambria" w:eastAsia="宋体" w:hAnsi="Cambria" w:cs="Times New Roman"/>
          <w:kern w:val="0"/>
          <w:sz w:val="24"/>
          <w:szCs w:val="24"/>
          <w:lang w:eastAsia="en-US"/>
        </w:rPr>
      </w:pPr>
    </w:p>
    <w:p w14:paraId="20A379E2" w14:textId="77777777" w:rsidR="006E1B77" w:rsidRPr="00160236" w:rsidRDefault="006E1B77" w:rsidP="006E1B77">
      <w:pPr>
        <w:keepNext/>
        <w:widowControl/>
        <w:spacing w:after="200"/>
        <w:jc w:val="left"/>
        <w:rPr>
          <w:rFonts w:ascii="Cambria" w:eastAsia="宋体" w:hAnsi="Cambria" w:cs="Times New Roman"/>
          <w:kern w:val="0"/>
          <w:sz w:val="24"/>
          <w:szCs w:val="24"/>
          <w:lang w:eastAsia="en-US"/>
        </w:rPr>
      </w:pPr>
      <w:r w:rsidRPr="00160236">
        <w:rPr>
          <w:rFonts w:ascii="Cambria" w:eastAsia="宋体" w:hAnsi="Cambria" w:cs="Times New Roman"/>
          <w:noProof/>
          <w:kern w:val="0"/>
          <w:sz w:val="24"/>
          <w:szCs w:val="24"/>
          <w:lang w:eastAsia="en-US"/>
        </w:rPr>
        <w:drawing>
          <wp:inline distT="0" distB="0" distL="0" distR="0" wp14:anchorId="785FECDA" wp14:editId="130E4EF9">
            <wp:extent cx="5334000" cy="2973627"/>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C:\Users\54623\AppData\Roaming\Typora\typora-user-images\image-20210210091334796.png"/>
                    <pic:cNvPicPr>
                      <a:picLocks noChangeAspect="1" noChangeArrowheads="1"/>
                    </pic:cNvPicPr>
                  </pic:nvPicPr>
                  <pic:blipFill>
                    <a:blip r:embed="rId16"/>
                    <a:stretch>
                      <a:fillRect/>
                    </a:stretch>
                  </pic:blipFill>
                  <pic:spPr bwMode="auto">
                    <a:xfrm>
                      <a:off x="0" y="0"/>
                      <a:ext cx="5334000" cy="2973627"/>
                    </a:xfrm>
                    <a:prstGeom prst="rect">
                      <a:avLst/>
                    </a:prstGeom>
                    <a:noFill/>
                    <a:ln w="9525">
                      <a:noFill/>
                      <a:headEnd/>
                      <a:tailEnd/>
                    </a:ln>
                  </pic:spPr>
                </pic:pic>
              </a:graphicData>
            </a:graphic>
          </wp:inline>
        </w:drawing>
      </w:r>
    </w:p>
    <w:p w14:paraId="3A87A8D2" w14:textId="77777777" w:rsidR="006E1B77" w:rsidRPr="00160236" w:rsidRDefault="006E1B77" w:rsidP="006E1B77">
      <w:pPr>
        <w:widowControl/>
        <w:spacing w:after="120"/>
        <w:jc w:val="left"/>
        <w:rPr>
          <w:rFonts w:ascii="Cambria" w:eastAsia="宋体" w:hAnsi="Cambria" w:cs="Times New Roman"/>
          <w:i/>
          <w:kern w:val="0"/>
          <w:sz w:val="24"/>
          <w:szCs w:val="24"/>
          <w:lang w:eastAsia="en-US"/>
        </w:rPr>
      </w:pPr>
    </w:p>
    <w:p w14:paraId="01645257" w14:textId="1DFBFBC2" w:rsidR="006E1B77" w:rsidRPr="00160236" w:rsidRDefault="00B7013F" w:rsidP="006E1B77">
      <w:pPr>
        <w:widowControl/>
        <w:spacing w:before="180" w:after="180"/>
        <w:jc w:val="left"/>
        <w:rPr>
          <w:rFonts w:ascii="Times New Roman" w:eastAsia="宋体" w:hAnsi="Times New Roman" w:cs="Times New Roman"/>
          <w:kern w:val="0"/>
          <w:sz w:val="24"/>
          <w:szCs w:val="24"/>
          <w:lang w:eastAsia="en-US"/>
        </w:rPr>
      </w:pPr>
      <w:r w:rsidRPr="00160236">
        <w:rPr>
          <w:rFonts w:ascii="Times New Roman" w:eastAsia="宋体" w:hAnsi="Times New Roman" w:cs="Times New Roman"/>
          <w:kern w:val="0"/>
          <w:sz w:val="24"/>
          <w:szCs w:val="24"/>
          <w:lang w:eastAsia="en-US"/>
        </w:rPr>
        <w:t>Figure</w:t>
      </w:r>
      <w:r w:rsidRPr="00B7013F">
        <w:rPr>
          <w:rFonts w:ascii="Times New Roman" w:eastAsia="宋体" w:hAnsi="Times New Roman" w:cs="Times New Roman"/>
          <w:kern w:val="0"/>
          <w:sz w:val="24"/>
          <w:szCs w:val="24"/>
          <w:lang w:eastAsia="en-US"/>
        </w:rPr>
        <w:t xml:space="preserve"> 7</w:t>
      </w:r>
      <w:r>
        <w:rPr>
          <w:rFonts w:ascii="Times New Roman" w:eastAsia="宋体" w:hAnsi="Times New Roman" w:cs="Times New Roman"/>
          <w:kern w:val="0"/>
          <w:sz w:val="24"/>
          <w:szCs w:val="24"/>
          <w:lang w:eastAsia="en-US"/>
        </w:rPr>
        <w:t>.</w:t>
      </w:r>
      <w:r w:rsidR="006E1B77" w:rsidRPr="00160236">
        <w:rPr>
          <w:rFonts w:ascii="Times New Roman" w:eastAsia="宋体" w:hAnsi="Times New Roman" w:cs="Times New Roman"/>
          <w:kern w:val="0"/>
          <w:sz w:val="24"/>
          <w:szCs w:val="24"/>
          <w:lang w:eastAsia="en-US"/>
        </w:rPr>
        <w:t xml:space="preserve"> C14-HSL/</w:t>
      </w:r>
      <w:proofErr w:type="spellStart"/>
      <w:r w:rsidR="006E1B77" w:rsidRPr="00160236">
        <w:rPr>
          <w:rFonts w:ascii="Times New Roman" w:eastAsia="宋体" w:hAnsi="Times New Roman" w:cs="Times New Roman"/>
          <w:kern w:val="0"/>
          <w:sz w:val="24"/>
          <w:szCs w:val="24"/>
          <w:lang w:eastAsia="en-US"/>
        </w:rPr>
        <w:t>LuxI</w:t>
      </w:r>
      <w:proofErr w:type="spellEnd"/>
      <w:r w:rsidR="006E1B77" w:rsidRPr="00160236">
        <w:rPr>
          <w:rFonts w:ascii="Times New Roman" w:eastAsia="宋体" w:hAnsi="Times New Roman" w:cs="Times New Roman"/>
          <w:kern w:val="0"/>
          <w:sz w:val="24"/>
          <w:szCs w:val="24"/>
          <w:lang w:eastAsia="en-US"/>
        </w:rPr>
        <w:t>/</w:t>
      </w:r>
      <w:proofErr w:type="spellStart"/>
      <w:r w:rsidR="006E1B77" w:rsidRPr="00160236">
        <w:rPr>
          <w:rFonts w:ascii="Times New Roman" w:eastAsia="宋体" w:hAnsi="Times New Roman" w:cs="Times New Roman"/>
          <w:kern w:val="0"/>
          <w:sz w:val="24"/>
          <w:szCs w:val="24"/>
          <w:lang w:eastAsia="en-US"/>
        </w:rPr>
        <w:t>VjbR</w:t>
      </w:r>
      <w:proofErr w:type="spellEnd"/>
      <w:r w:rsidR="006E1B77" w:rsidRPr="00160236">
        <w:rPr>
          <w:rFonts w:ascii="Times New Roman" w:eastAsia="宋体" w:hAnsi="Times New Roman" w:cs="Times New Roman"/>
          <w:kern w:val="0"/>
          <w:sz w:val="24"/>
          <w:szCs w:val="24"/>
          <w:lang w:eastAsia="en-US"/>
        </w:rPr>
        <w:t>/</w:t>
      </w:r>
      <w:proofErr w:type="spellStart"/>
      <w:r w:rsidR="006E1B77" w:rsidRPr="00160236">
        <w:rPr>
          <w:rFonts w:ascii="Times New Roman" w:eastAsia="宋体" w:hAnsi="Times New Roman" w:cs="Times New Roman"/>
          <w:kern w:val="0"/>
          <w:sz w:val="24"/>
          <w:szCs w:val="24"/>
          <w:lang w:eastAsia="en-US"/>
        </w:rPr>
        <w:t>ccdB</w:t>
      </w:r>
      <w:proofErr w:type="spellEnd"/>
      <w:r w:rsidR="006E1B77" w:rsidRPr="00160236">
        <w:rPr>
          <w:rFonts w:ascii="Times New Roman" w:eastAsia="宋体" w:hAnsi="Times New Roman" w:cs="Times New Roman"/>
          <w:kern w:val="0"/>
          <w:sz w:val="24"/>
          <w:szCs w:val="24"/>
          <w:lang w:eastAsia="en-US"/>
        </w:rPr>
        <w:t xml:space="preserve"> system</w:t>
      </w:r>
    </w:p>
    <w:p w14:paraId="00B7831D" w14:textId="2B7B1083" w:rsidR="006E1B77" w:rsidRPr="00160236" w:rsidRDefault="006E1B77" w:rsidP="006E1B77">
      <w:pPr>
        <w:widowControl/>
        <w:spacing w:before="180" w:after="180"/>
        <w:jc w:val="left"/>
        <w:rPr>
          <w:rFonts w:ascii="Cambria" w:eastAsia="宋体" w:hAnsi="Cambria" w:cs="Times New Roman"/>
          <w:kern w:val="0"/>
          <w:sz w:val="24"/>
          <w:szCs w:val="24"/>
          <w:lang w:eastAsia="en-US"/>
        </w:rPr>
      </w:pPr>
      <w:r w:rsidRPr="00160236">
        <w:rPr>
          <w:rFonts w:ascii="Cambria" w:eastAsia="宋体" w:hAnsi="Cambria" w:cs="Times New Roman"/>
          <w:kern w:val="0"/>
          <w:sz w:val="24"/>
          <w:szCs w:val="24"/>
          <w:lang w:eastAsia="en-US"/>
        </w:rPr>
        <w:t>Moreover, as the signal molecules are secreted into the surrounding environment, it's possible that the signal molecules will flow into the next chamber.</w:t>
      </w:r>
      <w:r>
        <w:rPr>
          <w:rFonts w:ascii="Cambria" w:eastAsia="宋体" w:hAnsi="Cambria" w:cs="Times New Roman"/>
          <w:kern w:val="0"/>
          <w:sz w:val="24"/>
          <w:szCs w:val="24"/>
          <w:lang w:eastAsia="en-US"/>
        </w:rPr>
        <w:t xml:space="preserve"> </w:t>
      </w:r>
      <w:proofErr w:type="gramStart"/>
      <w:r w:rsidRPr="00160236">
        <w:rPr>
          <w:rFonts w:ascii="Cambria" w:eastAsia="宋体" w:hAnsi="Cambria" w:cs="Times New Roman"/>
          <w:kern w:val="0"/>
          <w:sz w:val="24"/>
          <w:szCs w:val="24"/>
          <w:lang w:eastAsia="en-US"/>
        </w:rPr>
        <w:t>So</w:t>
      </w:r>
      <w:proofErr w:type="gramEnd"/>
      <w:r w:rsidRPr="00160236">
        <w:rPr>
          <w:rFonts w:ascii="Cambria" w:eastAsia="宋体" w:hAnsi="Cambria" w:cs="Times New Roman"/>
          <w:kern w:val="0"/>
          <w:sz w:val="24"/>
          <w:szCs w:val="24"/>
          <w:lang w:eastAsia="en-US"/>
        </w:rPr>
        <w:t xml:space="preserve"> if only one type of system is used, the regular growth of cells in the next chamber will be interrupted. Therefore, we decide to use different signal molecules in two adjacent chambers. Here we find </w:t>
      </w:r>
      <w:proofErr w:type="spellStart"/>
      <w:r w:rsidRPr="00160236">
        <w:rPr>
          <w:rFonts w:ascii="Cambria" w:eastAsia="宋体" w:hAnsi="Cambria" w:cs="Times New Roman"/>
          <w:kern w:val="0"/>
          <w:sz w:val="24"/>
          <w:szCs w:val="24"/>
          <w:lang w:eastAsia="en-US"/>
        </w:rPr>
        <w:t>Swr</w:t>
      </w:r>
      <w:proofErr w:type="spellEnd"/>
      <w:r w:rsidRPr="00160236">
        <w:rPr>
          <w:rFonts w:ascii="Cambria" w:eastAsia="宋体" w:hAnsi="Cambria" w:cs="Times New Roman"/>
          <w:kern w:val="0"/>
          <w:sz w:val="24"/>
          <w:szCs w:val="24"/>
          <w:lang w:eastAsia="en-US"/>
        </w:rPr>
        <w:t xml:space="preserve"> QS system as another one to control the growth</w:t>
      </w:r>
      <w:r>
        <w:rPr>
          <w:rFonts w:ascii="Cambria" w:eastAsia="宋体" w:hAnsi="Cambria" w:cs="Times New Roman"/>
          <w:kern w:val="0"/>
          <w:sz w:val="24"/>
          <w:szCs w:val="24"/>
          <w:lang w:eastAsia="en-US"/>
        </w:rPr>
        <w:t xml:space="preserve"> </w:t>
      </w:r>
      <w:r>
        <w:rPr>
          <w:rFonts w:ascii="Cambria" w:eastAsia="宋体" w:hAnsi="Cambria" w:cs="Times New Roman"/>
          <w:kern w:val="0"/>
          <w:sz w:val="24"/>
          <w:szCs w:val="24"/>
          <w:lang w:eastAsia="en-US"/>
        </w:rPr>
        <w:fldChar w:fldCharType="begin"/>
      </w:r>
      <w:r>
        <w:rPr>
          <w:rFonts w:ascii="Cambria" w:eastAsia="宋体" w:hAnsi="Cambria" w:cs="Times New Roman"/>
          <w:kern w:val="0"/>
          <w:sz w:val="24"/>
          <w:szCs w:val="24"/>
          <w:lang w:eastAsia="en-US"/>
        </w:rPr>
        <w:instrText xml:space="preserve"> ADDIN ZOTERO_ITEM CSL_CITATION {"citationID":"KvA9PmAU","properties":{"formattedCitation":"(Khajanchi et al., 2009)","plainCitation":"(Khajanchi et al., 2009)","noteIndex":0},"citationItems":[{"id":267,"uris":["http://zotero.org/users/6732890/items/3KUQRVLJ"],"uri":["http://zotero.org/users/6732890/items/3KUQRVLJ"],"itemData":{"id":267,"type":"article-journal","abstract":"In this study, we delineated the role of N-acylhomoserine lactone(s) (AHLs)-mediated quorum sensing (QS) in the virulence of diarrhoeal isolate SSU of Aeromonas hydrophila by generating a double knockout Delta ahyRI mutant. Protease production was substantially reduced in the Delta ahyRI mutant when compared with that in the wild-type (WT) strain. Importantly, based on Western blot analysis, the Delta ahyRI mutant was unable to secrete type VI secretion system (T6SS)-associated effectors, namely haemolysin coregulated protein and the valine-glycine repeat family of proteins, while significant levels of these effectors were detected in the culture supernatant of the WT A. hydrophila. In contrast, the production and translocation of the type III secretion system (T3SS) effector AexU in human colonic epithelial cells were not affected when the ahyRI genes were deleted. Solid surface-associated biofilm formation was significantly reduced in the Delta ahyRI mutant when compared with that in the WT strain, as determined by a crystal violet staining assay. Scanning electron microscopic observations revealed that the Delta ahyRI mutant was also defective in the formation of structured biofilm, as it was less filamentous and produced a distinct exopolysaccharide on its surface when compared with the structured biofilm produced by the WT strain. These effects of AhyRI could be complemented either by expressing the ahyRI genes in trans or by the exogeneous addition of AHLs to the Delta ahyRI/ahyR(+) complemented strain. In a mouse lethality experiment, 50 % attenuation was observed when we deleted the ahyRI genes from the parental strain of A. hydrophila. Together, our data suggest that AHL-mediated QS modulates the virulence of A. hydrophila SSU by regulating the T6SS, metalloprotease production and biofilm formation.","container-title":"Microbiology (Reading, England)","DOI":"10.1099/mic.0.031575-0","ISSN":"1465-2080","issue":"Pt 11","journalAbbreviation":"Microbiology (Reading)","language":"eng","note":"PMID: 19729404\nPMCID: PMC2888131","page":"3518-3531","source":"PubMed","title":"N-acylhomoserine lactones involved in quorum sensing control the type VI secretion system, biofilm formation, protease production, and in vivo virulence in a clinical isolate of Aeromonas hydrophila","volume":"155","author":[{"family":"Khajanchi","given":"Bijay K."},{"family":"Sha","given":"Jian"},{"family":"Kozlova","given":"Elena V."},{"family":"Erova","given":"Tatiana E."},{"family":"Suarez","given":"Giovanni"},{"family":"Sierra","given":"Johanna C."},{"family":"Popov","given":"Vsevolod L."},{"family":"Horneman","given":"Amy J."},{"family":"Chopra","given":"Ashok K."}],"issued":{"date-parts":[["2009",11]]}}}],"schema":"https://github.com/citation-style-language/schema/raw/master/csl-citation.json"} </w:instrText>
      </w:r>
      <w:r>
        <w:rPr>
          <w:rFonts w:ascii="Cambria" w:eastAsia="宋体" w:hAnsi="Cambria" w:cs="Times New Roman"/>
          <w:kern w:val="0"/>
          <w:sz w:val="24"/>
          <w:szCs w:val="24"/>
          <w:lang w:eastAsia="en-US"/>
        </w:rPr>
        <w:fldChar w:fldCharType="separate"/>
      </w:r>
      <w:r w:rsidR="00FB45FE" w:rsidRPr="00FB45FE">
        <w:rPr>
          <w:rFonts w:ascii="Cambria" w:hAnsi="Cambria"/>
          <w:sz w:val="24"/>
        </w:rPr>
        <w:t>(Khajanchi et al., 2009)</w:t>
      </w:r>
      <w:r>
        <w:rPr>
          <w:rFonts w:ascii="Cambria" w:eastAsia="宋体" w:hAnsi="Cambria" w:cs="Times New Roman"/>
          <w:kern w:val="0"/>
          <w:sz w:val="24"/>
          <w:szCs w:val="24"/>
          <w:lang w:eastAsia="en-US"/>
        </w:rPr>
        <w:fldChar w:fldCharType="end"/>
      </w:r>
      <w:r w:rsidRPr="00160236">
        <w:rPr>
          <w:rFonts w:ascii="Cambria" w:eastAsia="宋体" w:hAnsi="Cambria" w:cs="Times New Roman"/>
          <w:kern w:val="0"/>
          <w:sz w:val="24"/>
          <w:szCs w:val="24"/>
          <w:lang w:eastAsia="en-US"/>
        </w:rPr>
        <w:t>.</w:t>
      </w:r>
    </w:p>
    <w:p w14:paraId="1B2DA929" w14:textId="77777777" w:rsidR="006E1B77" w:rsidRPr="00160236" w:rsidRDefault="006E1B77" w:rsidP="006E1B77">
      <w:pPr>
        <w:keepNext/>
        <w:widowControl/>
        <w:spacing w:after="200"/>
        <w:jc w:val="left"/>
        <w:rPr>
          <w:rFonts w:ascii="Cambria" w:eastAsia="宋体" w:hAnsi="Cambria" w:cs="Times New Roman"/>
          <w:kern w:val="0"/>
          <w:sz w:val="24"/>
          <w:szCs w:val="24"/>
          <w:lang w:eastAsia="en-US"/>
        </w:rPr>
      </w:pPr>
      <w:r w:rsidRPr="00160236">
        <w:rPr>
          <w:rFonts w:ascii="Cambria" w:eastAsia="宋体" w:hAnsi="Cambria" w:cs="Times New Roman"/>
          <w:noProof/>
          <w:kern w:val="0"/>
          <w:sz w:val="24"/>
          <w:szCs w:val="24"/>
          <w:lang w:eastAsia="en-US"/>
        </w:rPr>
        <w:lastRenderedPageBreak/>
        <w:drawing>
          <wp:inline distT="0" distB="0" distL="0" distR="0" wp14:anchorId="26F86FF7" wp14:editId="23EC117A">
            <wp:extent cx="5334000" cy="2998779"/>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C:\Users\54623\AppData\Roaming\Typora\typora-user-images\image-20210210085915535.png"/>
                    <pic:cNvPicPr>
                      <a:picLocks noChangeAspect="1" noChangeArrowheads="1"/>
                    </pic:cNvPicPr>
                  </pic:nvPicPr>
                  <pic:blipFill>
                    <a:blip r:embed="rId17"/>
                    <a:stretch>
                      <a:fillRect/>
                    </a:stretch>
                  </pic:blipFill>
                  <pic:spPr bwMode="auto">
                    <a:xfrm>
                      <a:off x="0" y="0"/>
                      <a:ext cx="5334000" cy="2998779"/>
                    </a:xfrm>
                    <a:prstGeom prst="rect">
                      <a:avLst/>
                    </a:prstGeom>
                    <a:noFill/>
                    <a:ln w="9525">
                      <a:noFill/>
                      <a:headEnd/>
                      <a:tailEnd/>
                    </a:ln>
                  </pic:spPr>
                </pic:pic>
              </a:graphicData>
            </a:graphic>
          </wp:inline>
        </w:drawing>
      </w:r>
    </w:p>
    <w:p w14:paraId="41BF3CA8" w14:textId="77777777" w:rsidR="006E1B77" w:rsidRPr="00160236" w:rsidRDefault="006E1B77" w:rsidP="006E1B77">
      <w:pPr>
        <w:widowControl/>
        <w:spacing w:after="120"/>
        <w:jc w:val="left"/>
        <w:rPr>
          <w:rFonts w:ascii="Cambria" w:eastAsia="宋体" w:hAnsi="Cambria" w:cs="Times New Roman"/>
          <w:i/>
          <w:kern w:val="0"/>
          <w:sz w:val="24"/>
          <w:szCs w:val="24"/>
          <w:lang w:eastAsia="en-US"/>
        </w:rPr>
      </w:pPr>
    </w:p>
    <w:p w14:paraId="6086D168" w14:textId="21051736" w:rsidR="006E1B77" w:rsidRPr="00160236" w:rsidRDefault="00B7013F" w:rsidP="006E1B77">
      <w:pPr>
        <w:widowControl/>
        <w:spacing w:before="180" w:after="180"/>
        <w:jc w:val="left"/>
        <w:rPr>
          <w:rFonts w:ascii="Times New Roman" w:eastAsia="宋体" w:hAnsi="Times New Roman" w:cs="Times New Roman"/>
          <w:kern w:val="0"/>
          <w:sz w:val="24"/>
          <w:szCs w:val="24"/>
          <w:lang w:eastAsia="en-US"/>
        </w:rPr>
      </w:pPr>
      <w:r w:rsidRPr="00160236">
        <w:rPr>
          <w:rFonts w:ascii="Times New Roman" w:eastAsia="宋体" w:hAnsi="Times New Roman" w:cs="Times New Roman"/>
          <w:kern w:val="0"/>
          <w:sz w:val="24"/>
          <w:szCs w:val="24"/>
          <w:lang w:eastAsia="en-US"/>
        </w:rPr>
        <w:t>Figure</w:t>
      </w:r>
      <w:r w:rsidRPr="00B7013F">
        <w:rPr>
          <w:rFonts w:ascii="Times New Roman" w:eastAsia="宋体" w:hAnsi="Times New Roman" w:cs="Times New Roman"/>
          <w:kern w:val="0"/>
          <w:sz w:val="24"/>
          <w:szCs w:val="24"/>
          <w:lang w:eastAsia="en-US"/>
        </w:rPr>
        <w:t xml:space="preserve"> 8.</w:t>
      </w:r>
      <w:r w:rsidR="006E1B77" w:rsidRPr="00160236">
        <w:rPr>
          <w:rFonts w:ascii="Times New Roman" w:eastAsia="宋体" w:hAnsi="Times New Roman" w:cs="Times New Roman"/>
          <w:kern w:val="0"/>
          <w:sz w:val="24"/>
          <w:szCs w:val="24"/>
          <w:lang w:eastAsia="en-US"/>
        </w:rPr>
        <w:t xml:space="preserve"> C4-HSL/</w:t>
      </w:r>
      <w:proofErr w:type="spellStart"/>
      <w:r w:rsidR="006E1B77" w:rsidRPr="00160236">
        <w:rPr>
          <w:rFonts w:ascii="Times New Roman" w:eastAsia="宋体" w:hAnsi="Times New Roman" w:cs="Times New Roman"/>
          <w:kern w:val="0"/>
          <w:sz w:val="24"/>
          <w:szCs w:val="24"/>
          <w:lang w:eastAsia="en-US"/>
        </w:rPr>
        <w:t>SwrI</w:t>
      </w:r>
      <w:proofErr w:type="spellEnd"/>
      <w:r w:rsidR="006E1B77" w:rsidRPr="00160236">
        <w:rPr>
          <w:rFonts w:ascii="Times New Roman" w:eastAsia="宋体" w:hAnsi="Times New Roman" w:cs="Times New Roman"/>
          <w:kern w:val="0"/>
          <w:sz w:val="24"/>
          <w:szCs w:val="24"/>
          <w:lang w:eastAsia="en-US"/>
        </w:rPr>
        <w:t>/</w:t>
      </w:r>
      <w:proofErr w:type="spellStart"/>
      <w:r w:rsidR="006E1B77" w:rsidRPr="00160236">
        <w:rPr>
          <w:rFonts w:ascii="Times New Roman" w:eastAsia="宋体" w:hAnsi="Times New Roman" w:cs="Times New Roman"/>
          <w:kern w:val="0"/>
          <w:sz w:val="24"/>
          <w:szCs w:val="24"/>
          <w:lang w:eastAsia="en-US"/>
        </w:rPr>
        <w:t>SwrR</w:t>
      </w:r>
      <w:proofErr w:type="spellEnd"/>
      <w:r w:rsidR="006E1B77" w:rsidRPr="00160236">
        <w:rPr>
          <w:rFonts w:ascii="Times New Roman" w:eastAsia="宋体" w:hAnsi="Times New Roman" w:cs="Times New Roman"/>
          <w:kern w:val="0"/>
          <w:sz w:val="24"/>
          <w:szCs w:val="24"/>
          <w:lang w:eastAsia="en-US"/>
        </w:rPr>
        <w:t>/</w:t>
      </w:r>
      <w:proofErr w:type="spellStart"/>
      <w:r w:rsidR="006E1B77" w:rsidRPr="00160236">
        <w:rPr>
          <w:rFonts w:ascii="Times New Roman" w:eastAsia="宋体" w:hAnsi="Times New Roman" w:cs="Times New Roman"/>
          <w:kern w:val="0"/>
          <w:sz w:val="24"/>
          <w:szCs w:val="24"/>
          <w:lang w:eastAsia="en-US"/>
        </w:rPr>
        <w:t>ccdB</w:t>
      </w:r>
      <w:proofErr w:type="spellEnd"/>
      <w:r w:rsidR="006E1B77" w:rsidRPr="00160236">
        <w:rPr>
          <w:rFonts w:ascii="Times New Roman" w:eastAsia="宋体" w:hAnsi="Times New Roman" w:cs="Times New Roman"/>
          <w:kern w:val="0"/>
          <w:sz w:val="24"/>
          <w:szCs w:val="24"/>
          <w:lang w:eastAsia="en-US"/>
        </w:rPr>
        <w:t xml:space="preserve"> system</w:t>
      </w:r>
    </w:p>
    <w:p w14:paraId="2F1C792B" w14:textId="77777777" w:rsidR="006E1B77" w:rsidRPr="00160236" w:rsidRDefault="006E1B77" w:rsidP="006E1B77">
      <w:pPr>
        <w:keepNext/>
        <w:widowControl/>
        <w:spacing w:after="200"/>
        <w:jc w:val="left"/>
        <w:rPr>
          <w:rFonts w:ascii="Cambria" w:eastAsia="宋体" w:hAnsi="Cambria" w:cs="Times New Roman"/>
          <w:kern w:val="0"/>
          <w:sz w:val="24"/>
          <w:szCs w:val="24"/>
          <w:lang w:eastAsia="en-US"/>
        </w:rPr>
      </w:pPr>
      <w:r w:rsidRPr="00160236">
        <w:rPr>
          <w:rFonts w:ascii="Cambria" w:eastAsia="宋体" w:hAnsi="Cambria" w:cs="Times New Roman"/>
          <w:noProof/>
          <w:kern w:val="0"/>
          <w:sz w:val="24"/>
          <w:szCs w:val="24"/>
          <w:lang w:eastAsia="en-US"/>
        </w:rPr>
        <w:drawing>
          <wp:inline distT="0" distB="0" distL="0" distR="0" wp14:anchorId="32673862" wp14:editId="3CEAD0E2">
            <wp:extent cx="5334000" cy="234315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C:\Users\54623\AppData\Roaming\Typora\typora-user-images\image-20210210091712508.png"/>
                    <pic:cNvPicPr>
                      <a:picLocks noChangeAspect="1" noChangeArrowheads="1"/>
                    </pic:cNvPicPr>
                  </pic:nvPicPr>
                  <pic:blipFill>
                    <a:blip r:embed="rId18"/>
                    <a:stretch>
                      <a:fillRect/>
                    </a:stretch>
                  </pic:blipFill>
                  <pic:spPr bwMode="auto">
                    <a:xfrm>
                      <a:off x="0" y="0"/>
                      <a:ext cx="5334000" cy="2343150"/>
                    </a:xfrm>
                    <a:prstGeom prst="rect">
                      <a:avLst/>
                    </a:prstGeom>
                    <a:noFill/>
                    <a:ln w="9525">
                      <a:noFill/>
                      <a:headEnd/>
                      <a:tailEnd/>
                    </a:ln>
                  </pic:spPr>
                </pic:pic>
              </a:graphicData>
            </a:graphic>
          </wp:inline>
        </w:drawing>
      </w:r>
    </w:p>
    <w:p w14:paraId="72614028" w14:textId="77777777" w:rsidR="006E1B77" w:rsidRPr="00160236" w:rsidRDefault="006E1B77" w:rsidP="006E1B77">
      <w:pPr>
        <w:widowControl/>
        <w:spacing w:after="120"/>
        <w:jc w:val="left"/>
        <w:rPr>
          <w:rFonts w:ascii="Cambria" w:eastAsia="宋体" w:hAnsi="Cambria" w:cs="Times New Roman"/>
          <w:i/>
          <w:kern w:val="0"/>
          <w:sz w:val="24"/>
          <w:szCs w:val="24"/>
          <w:lang w:eastAsia="en-US"/>
        </w:rPr>
      </w:pPr>
    </w:p>
    <w:p w14:paraId="17E7410F" w14:textId="2EEFEDD8" w:rsidR="006E1B77" w:rsidRPr="00160236" w:rsidRDefault="00B7013F" w:rsidP="006E1B77">
      <w:pPr>
        <w:widowControl/>
        <w:spacing w:before="180" w:after="180"/>
        <w:jc w:val="left"/>
        <w:rPr>
          <w:rFonts w:ascii="Times New Roman" w:eastAsia="宋体" w:hAnsi="Times New Roman" w:cs="Times New Roman"/>
          <w:kern w:val="0"/>
          <w:sz w:val="24"/>
          <w:szCs w:val="24"/>
          <w:lang w:eastAsia="en-US"/>
        </w:rPr>
      </w:pPr>
      <w:r w:rsidRPr="00160236">
        <w:rPr>
          <w:rFonts w:ascii="Times New Roman" w:eastAsia="宋体" w:hAnsi="Times New Roman" w:cs="Times New Roman"/>
          <w:kern w:val="0"/>
          <w:sz w:val="24"/>
          <w:szCs w:val="24"/>
          <w:lang w:eastAsia="en-US"/>
        </w:rPr>
        <w:t>Figure</w:t>
      </w:r>
      <w:r w:rsidRPr="00B7013F">
        <w:rPr>
          <w:rFonts w:ascii="Times New Roman" w:eastAsia="宋体" w:hAnsi="Times New Roman" w:cs="Times New Roman"/>
          <w:kern w:val="0"/>
          <w:sz w:val="24"/>
          <w:szCs w:val="24"/>
          <w:lang w:eastAsia="en-US"/>
        </w:rPr>
        <w:t xml:space="preserve"> 9.</w:t>
      </w:r>
      <w:r w:rsidR="006E1B77" w:rsidRPr="00160236">
        <w:rPr>
          <w:rFonts w:ascii="Times New Roman" w:eastAsia="宋体" w:hAnsi="Times New Roman" w:cs="Times New Roman"/>
          <w:kern w:val="0"/>
          <w:sz w:val="24"/>
          <w:szCs w:val="24"/>
          <w:lang w:eastAsia="en-US"/>
        </w:rPr>
        <w:t xml:space="preserve"> By changing the signal molecules, adjacent signal molecules will not interrupt with each other.</w:t>
      </w:r>
    </w:p>
    <w:p w14:paraId="1DB7A01D" w14:textId="77777777" w:rsidR="006E1B77" w:rsidRPr="00160236" w:rsidRDefault="006E1B77" w:rsidP="006E1B77"/>
    <w:p w14:paraId="28862CD6" w14:textId="77777777" w:rsidR="006E1B77" w:rsidRDefault="006E1B77" w:rsidP="006E1B77">
      <w:pPr>
        <w:pStyle w:val="3"/>
      </w:pPr>
      <w:r w:rsidRPr="00273159">
        <w:t>Recording system</w:t>
      </w:r>
    </w:p>
    <w:p w14:paraId="3E72DF57" w14:textId="0FC94624" w:rsidR="006E1B77" w:rsidRPr="008C3CE1" w:rsidRDefault="006E1B77" w:rsidP="00B7013F">
      <w:pPr>
        <w:widowControl/>
        <w:spacing w:before="180" w:after="180"/>
        <w:rPr>
          <w:rFonts w:ascii="Cambria" w:eastAsia="宋体" w:hAnsi="Cambria" w:cs="Times New Roman"/>
          <w:kern w:val="0"/>
          <w:sz w:val="24"/>
          <w:szCs w:val="24"/>
          <w:lang w:eastAsia="en-US"/>
        </w:rPr>
      </w:pPr>
      <w:r w:rsidRPr="008C3CE1">
        <w:rPr>
          <w:rFonts w:ascii="Cambria" w:eastAsia="宋体" w:hAnsi="Cambria" w:cs="Times New Roman" w:hint="eastAsia"/>
          <w:kern w:val="0"/>
          <w:sz w:val="24"/>
          <w:szCs w:val="24"/>
          <w:lang w:eastAsia="en-US"/>
        </w:rPr>
        <w:t>Our recording</w:t>
      </w:r>
      <w:r w:rsidRPr="008C3CE1">
        <w:rPr>
          <w:rFonts w:ascii="Cambria" w:eastAsia="宋体" w:hAnsi="Cambria" w:cs="Times New Roman"/>
          <w:kern w:val="0"/>
          <w:sz w:val="24"/>
          <w:szCs w:val="24"/>
          <w:lang w:eastAsia="en-US"/>
        </w:rPr>
        <w:t xml:space="preserve"> system includes a pair of nearly identical recording plasmids, R1 and R2, that differ only by 3 nucleotides in an EGFP gene that encodes enhanced green fluorescent protein. The EGFP gene in R1 expresses full-length fluorescent </w:t>
      </w:r>
      <w:r w:rsidRPr="008C3CE1">
        <w:rPr>
          <w:rFonts w:ascii="Cambria" w:eastAsia="宋体" w:hAnsi="Cambria" w:cs="Times New Roman"/>
          <w:kern w:val="0"/>
          <w:sz w:val="24"/>
          <w:szCs w:val="24"/>
          <w:lang w:eastAsia="en-US"/>
        </w:rPr>
        <w:lastRenderedPageBreak/>
        <w:t xml:space="preserve">protein, whereas the EGFP gene in R2 contains a premature stop codon and cannot produce fluorescent protein (Fig. </w:t>
      </w:r>
      <w:r w:rsidR="00B7013F">
        <w:rPr>
          <w:rFonts w:ascii="Cambria" w:eastAsia="宋体" w:hAnsi="Cambria" w:cs="Times New Roman"/>
          <w:kern w:val="0"/>
          <w:sz w:val="24"/>
          <w:szCs w:val="24"/>
          <w:lang w:eastAsia="en-US"/>
        </w:rPr>
        <w:t>10</w:t>
      </w:r>
      <w:r w:rsidRPr="008C3CE1">
        <w:rPr>
          <w:rFonts w:ascii="Cambria" w:eastAsia="宋体" w:hAnsi="Cambria" w:cs="Times New Roman"/>
          <w:kern w:val="0"/>
          <w:sz w:val="24"/>
          <w:szCs w:val="24"/>
          <w:lang w:eastAsia="en-US"/>
        </w:rPr>
        <w:t>A)</w:t>
      </w:r>
    </w:p>
    <w:p w14:paraId="57EEDF07" w14:textId="1171818A" w:rsidR="006E1B77" w:rsidRPr="008C3CE1" w:rsidRDefault="006E1B77" w:rsidP="00B7013F">
      <w:pPr>
        <w:widowControl/>
        <w:spacing w:before="180" w:after="180"/>
        <w:rPr>
          <w:rFonts w:ascii="Cambria" w:eastAsia="宋体" w:hAnsi="Cambria" w:cs="Times New Roman"/>
          <w:kern w:val="0"/>
          <w:sz w:val="24"/>
          <w:szCs w:val="24"/>
          <w:lang w:eastAsia="en-US"/>
        </w:rPr>
      </w:pPr>
      <w:r w:rsidRPr="008C3CE1">
        <w:rPr>
          <w:rFonts w:ascii="Cambria" w:eastAsia="宋体" w:hAnsi="Cambria" w:cs="Times New Roman"/>
          <w:kern w:val="0"/>
          <w:sz w:val="24"/>
          <w:szCs w:val="24"/>
          <w:lang w:eastAsia="en-US"/>
        </w:rPr>
        <w:t>The R1/R2 ratio serves as the information carrier that reflects the signal of interest in an analog mode. To convert the signal of interest into an R1/R2 ratio change, a Cas9-sgRNA pair induced by the stimulus cleaves plasmid R1 but not R2</w:t>
      </w:r>
      <w:r w:rsidRPr="008C3CE1">
        <w:rPr>
          <w:rFonts w:ascii="Cambria" w:eastAsia="宋体" w:hAnsi="Cambria" w:cs="Times New Roman" w:hint="eastAsia"/>
          <w:kern w:val="0"/>
          <w:sz w:val="24"/>
          <w:szCs w:val="24"/>
          <w:lang w:eastAsia="en-US"/>
        </w:rPr>
        <w:t xml:space="preserve">. </w:t>
      </w:r>
      <w:r w:rsidRPr="008C3CE1">
        <w:rPr>
          <w:rFonts w:ascii="Cambria" w:eastAsia="宋体" w:hAnsi="Cambria" w:cs="Times New Roman"/>
          <w:kern w:val="0"/>
          <w:sz w:val="24"/>
          <w:szCs w:val="24"/>
          <w:lang w:eastAsia="en-US"/>
        </w:rPr>
        <w:t>The expression of the Cas9-sgRNA complex is controlled by the signal of interest and results in R1 depletion in the bacteria</w:t>
      </w:r>
      <w:r w:rsidRPr="008C3CE1">
        <w:rPr>
          <w:rFonts w:ascii="Cambria" w:eastAsia="宋体" w:hAnsi="Cambria" w:cs="Times New Roman" w:hint="eastAsia"/>
          <w:kern w:val="0"/>
          <w:sz w:val="24"/>
          <w:szCs w:val="24"/>
          <w:lang w:eastAsia="en-US"/>
        </w:rPr>
        <w:t xml:space="preserve">. </w:t>
      </w:r>
      <w:r>
        <w:rPr>
          <w:rFonts w:ascii="Cambria" w:eastAsia="宋体" w:hAnsi="Cambria" w:cs="Times New Roman"/>
          <w:kern w:val="0"/>
          <w:sz w:val="24"/>
          <w:szCs w:val="24"/>
          <w:lang w:eastAsia="en-US"/>
        </w:rPr>
        <w:fldChar w:fldCharType="begin"/>
      </w:r>
      <w:r>
        <w:rPr>
          <w:rFonts w:ascii="Cambria" w:eastAsia="宋体" w:hAnsi="Cambria" w:cs="Times New Roman"/>
          <w:kern w:val="0"/>
          <w:sz w:val="24"/>
          <w:szCs w:val="24"/>
          <w:lang w:eastAsia="en-US"/>
        </w:rPr>
        <w:instrText xml:space="preserve"> ADDIN ZOTERO_ITEM CSL_CITATION {"citationID":"B4kK3Vpf","properties":{"formattedCitation":"(Tang &amp; Liu, 2018)","plainCitation":"(Tang &amp; Liu, 2018)","noteIndex":0},"citationItems":[{"id":289,"uris":["http://zotero.org/users/6732890/items/7P4NTU5S"],"uri":["http://zotero.org/users/6732890/items/7P4NTU5S"],"itemData":{"id":289,"type":"article-journal","abstract":"We present two CRISPR-mediated analog multi-event recording apparatus (CAMERA) systems that use base editors and Cas9 nucleases to record cellular events in bacteria and mammalian cells. The devices record signal amplitude or duration as changes in the ratio of mutually exclusive DNA sequences (CAMERA 1) or as single-base modifications (CAMERA 2). We achieved recording of multiple stimuli in bacteria or mammalian cells, including exposure to antibiotics, nutrients, viruses, light, and changes in Wnt signaling. When recording to multicopy plasmids, reliable readout requires as few as 10 to 100 cells. The order of stimuli can be recorded through an overlapping guide RNA design, and memories can be erased and re-recorded over multiple cycles. CAMERA systems serve as \"cell data recorders\" that write a history of endogenous or exogenous signaling events into permanent DNA sequence modifications in living cells.","container-title":"Science (New York, N.Y.)","DOI":"10.1126/science.aap8992","ISSN":"1095-9203","issue":"6385","journalAbbreviation":"Science","language":"eng","note":"PMID: 29449507\nPMCID: PMC5898985","source":"PubMed","title":"Rewritable multi-event analog recording in bacterial and mammalian cells","volume":"360","author":[{"family":"Tang","given":"Weixin"},{"family":"Liu","given":"David R."}],"issued":{"date-parts":[["2018",4,13]]}}}],"schema":"https://github.com/citation-style-language/schema/raw/master/csl-citation.json"} </w:instrText>
      </w:r>
      <w:r>
        <w:rPr>
          <w:rFonts w:ascii="Cambria" w:eastAsia="宋体" w:hAnsi="Cambria" w:cs="Times New Roman"/>
          <w:kern w:val="0"/>
          <w:sz w:val="24"/>
          <w:szCs w:val="24"/>
          <w:lang w:eastAsia="en-US"/>
        </w:rPr>
        <w:fldChar w:fldCharType="separate"/>
      </w:r>
      <w:r w:rsidR="00FB45FE" w:rsidRPr="00FB45FE">
        <w:rPr>
          <w:rFonts w:ascii="Cambria" w:hAnsi="Cambria"/>
          <w:sz w:val="24"/>
          <w:lang w:eastAsia="en-US"/>
        </w:rPr>
        <w:t>(Tang &amp; Liu, 2018)</w:t>
      </w:r>
      <w:r>
        <w:rPr>
          <w:rFonts w:ascii="Cambria" w:eastAsia="宋体" w:hAnsi="Cambria" w:cs="Times New Roman"/>
          <w:kern w:val="0"/>
          <w:sz w:val="24"/>
          <w:szCs w:val="24"/>
          <w:lang w:eastAsia="en-US"/>
        </w:rPr>
        <w:fldChar w:fldCharType="end"/>
      </w:r>
    </w:p>
    <w:p w14:paraId="01EEE1E5" w14:textId="77777777" w:rsidR="006E1B77" w:rsidRPr="008C3CE1" w:rsidRDefault="006E1B77" w:rsidP="006E1B77">
      <w:pPr>
        <w:widowControl/>
        <w:jc w:val="left"/>
        <w:rPr>
          <w:rFonts w:ascii="Cambria" w:eastAsia="宋体" w:hAnsi="Cambria" w:cs="Times New Roman"/>
          <w:kern w:val="0"/>
          <w:sz w:val="24"/>
          <w:szCs w:val="24"/>
          <w:lang w:eastAsia="en-US"/>
        </w:rPr>
      </w:pPr>
    </w:p>
    <w:p w14:paraId="445CB335" w14:textId="04F05A47" w:rsidR="006E1B77" w:rsidRDefault="006E1B77" w:rsidP="006E1B77">
      <w:pPr>
        <w:widowControl/>
        <w:jc w:val="left"/>
        <w:rPr>
          <w:rFonts w:ascii="Cambria" w:eastAsia="宋体" w:hAnsi="Cambria" w:cs="Times New Roman"/>
          <w:kern w:val="0"/>
          <w:sz w:val="24"/>
          <w:szCs w:val="24"/>
          <w:lang w:eastAsia="en-US"/>
        </w:rPr>
      </w:pPr>
      <w:r w:rsidRPr="008C3CE1">
        <w:rPr>
          <w:rFonts w:ascii="Cambria" w:eastAsia="宋体" w:hAnsi="Cambria" w:cs="Times New Roman"/>
          <w:noProof/>
          <w:kern w:val="0"/>
          <w:sz w:val="24"/>
          <w:szCs w:val="24"/>
          <w:lang w:eastAsia="en-US"/>
        </w:rPr>
        <w:drawing>
          <wp:inline distT="0" distB="0" distL="114300" distR="114300" wp14:anchorId="20BFCB7C" wp14:editId="78EE1202">
            <wp:extent cx="4575810" cy="3660775"/>
            <wp:effectExtent l="0" t="0" r="8890" b="9525"/>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9"/>
                    <a:stretch>
                      <a:fillRect/>
                    </a:stretch>
                  </pic:blipFill>
                  <pic:spPr>
                    <a:xfrm>
                      <a:off x="0" y="0"/>
                      <a:ext cx="4575810" cy="3660775"/>
                    </a:xfrm>
                    <a:prstGeom prst="rect">
                      <a:avLst/>
                    </a:prstGeom>
                    <a:noFill/>
                    <a:ln>
                      <a:noFill/>
                    </a:ln>
                  </pic:spPr>
                </pic:pic>
              </a:graphicData>
            </a:graphic>
          </wp:inline>
        </w:drawing>
      </w:r>
    </w:p>
    <w:p w14:paraId="13C3F8A3" w14:textId="26BFDF1D" w:rsidR="00B7013F" w:rsidRPr="008C3CE1" w:rsidRDefault="00B7013F" w:rsidP="006E1B77">
      <w:pPr>
        <w:widowControl/>
        <w:jc w:val="left"/>
        <w:rPr>
          <w:rFonts w:ascii="Cambria" w:eastAsia="宋体" w:hAnsi="Cambria" w:cs="Times New Roman"/>
          <w:kern w:val="0"/>
          <w:sz w:val="24"/>
          <w:szCs w:val="24"/>
          <w:lang w:eastAsia="en-US"/>
        </w:rPr>
      </w:pPr>
      <w:r w:rsidRPr="00160236">
        <w:rPr>
          <w:rFonts w:ascii="Times New Roman" w:eastAsia="宋体" w:hAnsi="Times New Roman" w:cs="Times New Roman"/>
          <w:kern w:val="0"/>
          <w:sz w:val="24"/>
          <w:szCs w:val="24"/>
          <w:lang w:eastAsia="en-US"/>
        </w:rPr>
        <w:t>Figure</w:t>
      </w:r>
      <w:r w:rsidRPr="00B7013F">
        <w:rPr>
          <w:rFonts w:ascii="Times New Roman" w:eastAsia="宋体" w:hAnsi="Times New Roman" w:cs="Times New Roman"/>
          <w:kern w:val="0"/>
          <w:sz w:val="24"/>
          <w:szCs w:val="24"/>
          <w:lang w:eastAsia="en-US"/>
        </w:rPr>
        <w:t xml:space="preserve"> </w:t>
      </w:r>
      <w:r>
        <w:rPr>
          <w:rFonts w:ascii="Times New Roman" w:eastAsia="宋体" w:hAnsi="Times New Roman" w:cs="Times New Roman"/>
          <w:kern w:val="0"/>
          <w:sz w:val="24"/>
          <w:szCs w:val="24"/>
          <w:lang w:eastAsia="en-US"/>
        </w:rPr>
        <w:t>10.</w:t>
      </w:r>
    </w:p>
    <w:p w14:paraId="3353C7C2" w14:textId="77777777" w:rsidR="006E1B77" w:rsidRPr="008C3CE1" w:rsidRDefault="006E1B77" w:rsidP="006E1B77">
      <w:pPr>
        <w:widowControl/>
        <w:jc w:val="left"/>
        <w:rPr>
          <w:rFonts w:ascii="Cambria" w:eastAsia="宋体" w:hAnsi="Cambria" w:cs="Times New Roman"/>
          <w:kern w:val="0"/>
          <w:sz w:val="24"/>
          <w:szCs w:val="24"/>
          <w:lang w:eastAsia="en-US"/>
        </w:rPr>
      </w:pPr>
      <w:r w:rsidRPr="008C3CE1">
        <w:rPr>
          <w:rFonts w:ascii="Cambria" w:eastAsia="宋体" w:hAnsi="Cambria" w:cs="Times New Roman" w:hint="eastAsia"/>
          <w:kern w:val="0"/>
          <w:sz w:val="24"/>
          <w:szCs w:val="24"/>
          <w:lang w:eastAsia="en-US"/>
        </w:rPr>
        <w:t>Both R1 and R2 confer resistance to different antibiotics. Which means the memory system can be rewritten by adding specific an</w:t>
      </w:r>
      <w:bookmarkStart w:id="1" w:name="OLE_LINK1"/>
      <w:r w:rsidRPr="008C3CE1">
        <w:rPr>
          <w:rFonts w:ascii="Cambria" w:eastAsia="宋体" w:hAnsi="Cambria" w:cs="Times New Roman" w:hint="eastAsia"/>
          <w:kern w:val="0"/>
          <w:sz w:val="24"/>
          <w:szCs w:val="24"/>
          <w:lang w:eastAsia="en-US"/>
        </w:rPr>
        <w:t>t</w:t>
      </w:r>
      <w:bookmarkEnd w:id="1"/>
      <w:r w:rsidRPr="008C3CE1">
        <w:rPr>
          <w:rFonts w:ascii="Cambria" w:eastAsia="宋体" w:hAnsi="Cambria" w:cs="Times New Roman" w:hint="eastAsia"/>
          <w:kern w:val="0"/>
          <w:sz w:val="24"/>
          <w:szCs w:val="24"/>
          <w:lang w:eastAsia="en-US"/>
        </w:rPr>
        <w:t>ibiotics which adjust the ratio of R1:R2 to the default.</w:t>
      </w:r>
    </w:p>
    <w:p w14:paraId="30231D3E" w14:textId="77777777" w:rsidR="006E1B77" w:rsidRPr="008C3CE1" w:rsidRDefault="006E1B77" w:rsidP="006E1B77">
      <w:pPr>
        <w:widowControl/>
        <w:jc w:val="left"/>
        <w:rPr>
          <w:rFonts w:ascii="Calibri" w:eastAsia="宋体" w:hAnsi="Calibri" w:cs="Times New Roman"/>
          <w:kern w:val="0"/>
          <w:sz w:val="20"/>
          <w:szCs w:val="20"/>
        </w:rPr>
      </w:pPr>
    </w:p>
    <w:p w14:paraId="4E259D1A" w14:textId="77777777" w:rsidR="006E1B77" w:rsidRPr="008C3CE1" w:rsidRDefault="006E1B77" w:rsidP="006E1B77">
      <w:pPr>
        <w:widowControl/>
        <w:jc w:val="center"/>
        <w:rPr>
          <w:rFonts w:ascii="Calibri" w:eastAsia="宋体" w:hAnsi="Calibri" w:cs="Times New Roman"/>
          <w:kern w:val="0"/>
          <w:sz w:val="20"/>
          <w:szCs w:val="20"/>
        </w:rPr>
      </w:pPr>
      <w:r w:rsidRPr="008C3CE1">
        <w:rPr>
          <w:rFonts w:ascii="Calibri" w:eastAsia="宋体" w:hAnsi="Calibri" w:cs="Times New Roman"/>
          <w:noProof/>
          <w:kern w:val="0"/>
          <w:sz w:val="20"/>
          <w:szCs w:val="20"/>
        </w:rPr>
        <w:drawing>
          <wp:inline distT="0" distB="0" distL="114300" distR="114300" wp14:anchorId="6035DF3F" wp14:editId="0DC24BEE">
            <wp:extent cx="2540000" cy="927100"/>
            <wp:effectExtent l="0" t="0" r="0" b="0"/>
            <wp:docPr id="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0"/>
                    <a:stretch>
                      <a:fillRect/>
                    </a:stretch>
                  </pic:blipFill>
                  <pic:spPr>
                    <a:xfrm>
                      <a:off x="0" y="0"/>
                      <a:ext cx="2540000" cy="927100"/>
                    </a:xfrm>
                    <a:prstGeom prst="rect">
                      <a:avLst/>
                    </a:prstGeom>
                    <a:noFill/>
                    <a:ln>
                      <a:noFill/>
                    </a:ln>
                  </pic:spPr>
                </pic:pic>
              </a:graphicData>
            </a:graphic>
          </wp:inline>
        </w:drawing>
      </w:r>
    </w:p>
    <w:p w14:paraId="1408D686" w14:textId="77777777" w:rsidR="006E1B77" w:rsidRPr="008C3CE1" w:rsidRDefault="006E1B77" w:rsidP="006E1B77">
      <w:pPr>
        <w:widowControl/>
        <w:rPr>
          <w:rFonts w:ascii="Calibri" w:eastAsia="宋体" w:hAnsi="Calibri" w:cs="Times New Roman"/>
          <w:kern w:val="0"/>
          <w:sz w:val="20"/>
          <w:szCs w:val="20"/>
        </w:rPr>
      </w:pPr>
    </w:p>
    <w:p w14:paraId="321A919F" w14:textId="77777777" w:rsidR="006E1B77" w:rsidRPr="008C3CE1" w:rsidRDefault="006E1B77" w:rsidP="006E1B77">
      <w:pPr>
        <w:widowControl/>
        <w:jc w:val="center"/>
        <w:rPr>
          <w:rFonts w:ascii="Calibri" w:eastAsia="宋体" w:hAnsi="Calibri" w:cs="Times New Roman"/>
          <w:kern w:val="0"/>
          <w:sz w:val="20"/>
          <w:szCs w:val="20"/>
        </w:rPr>
      </w:pPr>
      <w:r>
        <w:rPr>
          <w:rFonts w:ascii="Calibri" w:eastAsia="宋体" w:hAnsi="Calibri" w:cs="Times New Roman"/>
          <w:noProof/>
          <w:kern w:val="0"/>
          <w:sz w:val="20"/>
          <w:szCs w:val="20"/>
        </w:rPr>
        <w:lastRenderedPageBreak/>
        <w:drawing>
          <wp:inline distT="0" distB="0" distL="0" distR="0" wp14:anchorId="71E7AD58" wp14:editId="5FF1F889">
            <wp:extent cx="5295900" cy="126365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5900" cy="1263650"/>
                    </a:xfrm>
                    <a:prstGeom prst="rect">
                      <a:avLst/>
                    </a:prstGeom>
                    <a:noFill/>
                  </pic:spPr>
                </pic:pic>
              </a:graphicData>
            </a:graphic>
          </wp:inline>
        </w:drawing>
      </w:r>
    </w:p>
    <w:p w14:paraId="40514A6B" w14:textId="77777777" w:rsidR="006E1B77" w:rsidRPr="008C3CE1" w:rsidRDefault="006E1B77" w:rsidP="006E1B77">
      <w:pPr>
        <w:widowControl/>
        <w:jc w:val="center"/>
        <w:rPr>
          <w:rFonts w:ascii="Calibri" w:eastAsia="宋体" w:hAnsi="Calibri" w:cs="Times New Roman"/>
          <w:kern w:val="0"/>
          <w:sz w:val="20"/>
          <w:szCs w:val="20"/>
        </w:rPr>
      </w:pPr>
    </w:p>
    <w:p w14:paraId="7DE1DFEB" w14:textId="77777777" w:rsidR="006E1B77" w:rsidRPr="008C3CE1" w:rsidRDefault="006E1B77" w:rsidP="00B7013F">
      <w:pPr>
        <w:widowControl/>
        <w:rPr>
          <w:rFonts w:ascii="Calibri" w:eastAsia="宋体" w:hAnsi="Calibri" w:cs="Times New Roman"/>
          <w:kern w:val="0"/>
          <w:sz w:val="20"/>
          <w:szCs w:val="20"/>
        </w:rPr>
      </w:pPr>
    </w:p>
    <w:p w14:paraId="5D583AA6" w14:textId="77777777" w:rsidR="006E1B77" w:rsidRPr="008C3CE1" w:rsidRDefault="006E1B77" w:rsidP="006E1B77">
      <w:pPr>
        <w:widowControl/>
        <w:rPr>
          <w:rFonts w:ascii="Calibri" w:eastAsia="宋体" w:hAnsi="Calibri" w:cs="Times New Roman"/>
          <w:kern w:val="0"/>
          <w:sz w:val="20"/>
          <w:szCs w:val="20"/>
        </w:rPr>
      </w:pPr>
    </w:p>
    <w:p w14:paraId="1CCECAF3" w14:textId="77777777" w:rsidR="006E1B77" w:rsidRPr="008C3CE1" w:rsidRDefault="006E1B77" w:rsidP="006E1B77">
      <w:pPr>
        <w:widowControl/>
        <w:rPr>
          <w:rFonts w:ascii="Calibri" w:eastAsia="宋体" w:hAnsi="Calibri" w:cs="Times New Roman"/>
          <w:kern w:val="0"/>
          <w:sz w:val="20"/>
          <w:szCs w:val="20"/>
        </w:rPr>
      </w:pPr>
      <w:r w:rsidRPr="008C3CE1">
        <w:rPr>
          <w:rFonts w:ascii="Calibri" w:eastAsia="宋体" w:hAnsi="Calibri" w:cs="Times New Roman"/>
          <w:noProof/>
          <w:kern w:val="0"/>
          <w:sz w:val="20"/>
          <w:szCs w:val="20"/>
        </w:rPr>
        <w:drawing>
          <wp:inline distT="0" distB="0" distL="114300" distR="114300" wp14:anchorId="60D88B71" wp14:editId="6E6A4890">
            <wp:extent cx="5334000" cy="2493645"/>
            <wp:effectExtent l="0" t="0" r="0" b="8255"/>
            <wp:docPr id="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pic:cNvPicPr>
                      <a:picLocks noChangeAspect="1" noChangeArrowheads="1"/>
                    </pic:cNvPicPr>
                  </pic:nvPicPr>
                  <pic:blipFill>
                    <a:blip r:embed="rId8"/>
                    <a:stretch>
                      <a:fillRect/>
                    </a:stretch>
                  </pic:blipFill>
                  <pic:spPr>
                    <a:xfrm>
                      <a:off x="0" y="0"/>
                      <a:ext cx="5334000" cy="2494071"/>
                    </a:xfrm>
                    <a:prstGeom prst="rect">
                      <a:avLst/>
                    </a:prstGeom>
                    <a:noFill/>
                    <a:ln w="9525">
                      <a:noFill/>
                    </a:ln>
                  </pic:spPr>
                </pic:pic>
              </a:graphicData>
            </a:graphic>
          </wp:inline>
        </w:drawing>
      </w:r>
    </w:p>
    <w:p w14:paraId="444C7B2F" w14:textId="77777777" w:rsidR="006E1B77" w:rsidRPr="008C3CE1" w:rsidRDefault="006E1B77" w:rsidP="006E1B77"/>
    <w:p w14:paraId="451E88AD" w14:textId="74DD2B5F" w:rsidR="006E1B77" w:rsidRDefault="006E1B77" w:rsidP="006E1B77"/>
    <w:p w14:paraId="63D5DABD" w14:textId="47648386" w:rsidR="00B7013F" w:rsidRDefault="000050C8" w:rsidP="00B7013F">
      <w:pPr>
        <w:pStyle w:val="3"/>
      </w:pPr>
      <w:r w:rsidRPr="000050C8">
        <w:t>Bibliography</w:t>
      </w:r>
    </w:p>
    <w:p w14:paraId="58794191" w14:textId="3ED53B8E" w:rsidR="00B7013F" w:rsidRDefault="00B7013F" w:rsidP="006E1B77"/>
    <w:p w14:paraId="454C4E8C" w14:textId="77777777" w:rsidR="00FB45FE" w:rsidRPr="000050C8" w:rsidRDefault="00B7013F" w:rsidP="000050C8">
      <w:pPr>
        <w:pStyle w:val="ac"/>
        <w:rPr>
          <w:rFonts w:ascii="Times New Roman" w:eastAsia="等线" w:hAnsi="Times New Roman" w:cs="Times New Roman"/>
          <w:szCs w:val="21"/>
        </w:rPr>
      </w:pPr>
      <w:r>
        <w:fldChar w:fldCharType="begin"/>
      </w:r>
      <w:r w:rsidR="00FB45FE">
        <w:instrText xml:space="preserve"> ADDIN ZOTERO_BIBL {"uncited":[],"omitted":[],"custom":[]} CSL_BIBLIOGRAPHY </w:instrText>
      </w:r>
      <w:r>
        <w:fldChar w:fldCharType="separate"/>
      </w:r>
      <w:r w:rsidR="00FB45FE" w:rsidRPr="000050C8">
        <w:rPr>
          <w:rFonts w:ascii="Times New Roman" w:eastAsia="等线" w:hAnsi="Times New Roman" w:cs="Times New Roman"/>
          <w:szCs w:val="21"/>
        </w:rPr>
        <w:t xml:space="preserve">Ahmad, M., Hirz, M., Pichler, H., &amp; Schwab, H. (2014). Protein expression in Pichia pastoris: Recent achievements and perspectives for heterologous protein production. </w:t>
      </w:r>
      <w:r w:rsidR="00FB45FE" w:rsidRPr="000050C8">
        <w:rPr>
          <w:rFonts w:ascii="Times New Roman" w:eastAsia="等线" w:hAnsi="Times New Roman" w:cs="Times New Roman"/>
          <w:i/>
          <w:iCs/>
          <w:szCs w:val="21"/>
        </w:rPr>
        <w:t>Applied Microbiology and Biotechnology</w:t>
      </w:r>
      <w:r w:rsidR="00FB45FE" w:rsidRPr="000050C8">
        <w:rPr>
          <w:rFonts w:ascii="Times New Roman" w:eastAsia="等线" w:hAnsi="Times New Roman" w:cs="Times New Roman"/>
          <w:szCs w:val="21"/>
        </w:rPr>
        <w:t xml:space="preserve">, </w:t>
      </w:r>
      <w:r w:rsidR="00FB45FE" w:rsidRPr="000050C8">
        <w:rPr>
          <w:rFonts w:ascii="Times New Roman" w:eastAsia="等线" w:hAnsi="Times New Roman" w:cs="Times New Roman"/>
          <w:i/>
          <w:iCs/>
          <w:szCs w:val="21"/>
        </w:rPr>
        <w:t>98</w:t>
      </w:r>
      <w:r w:rsidR="00FB45FE" w:rsidRPr="000050C8">
        <w:rPr>
          <w:rFonts w:ascii="Times New Roman" w:eastAsia="等线" w:hAnsi="Times New Roman" w:cs="Times New Roman"/>
          <w:szCs w:val="21"/>
        </w:rPr>
        <w:t>(12), 5301–5317. https://doi.org/10.1007/s00253-014-5732-5</w:t>
      </w:r>
    </w:p>
    <w:p w14:paraId="1B6E375D" w14:textId="77777777" w:rsidR="00FB45FE" w:rsidRPr="000050C8" w:rsidRDefault="00FB45FE" w:rsidP="00FB45FE">
      <w:pPr>
        <w:pStyle w:val="ac"/>
        <w:rPr>
          <w:rFonts w:ascii="Times New Roman" w:eastAsia="等线" w:hAnsi="Times New Roman" w:cs="Times New Roman"/>
          <w:szCs w:val="21"/>
        </w:rPr>
      </w:pPr>
      <w:r w:rsidRPr="000050C8">
        <w:rPr>
          <w:rFonts w:ascii="Times New Roman" w:eastAsia="等线" w:hAnsi="Times New Roman" w:cs="Times New Roman"/>
          <w:szCs w:val="21"/>
        </w:rPr>
        <w:t xml:space="preserve">Aurand, T. C., &amp; March, J. C. (2016). Development of a synthetic receptor protein for sensing inflammatory mediators interferon-γ and tumor necrosis factor-α. </w:t>
      </w:r>
      <w:r w:rsidRPr="000050C8">
        <w:rPr>
          <w:rFonts w:ascii="Times New Roman" w:eastAsia="等线" w:hAnsi="Times New Roman" w:cs="Times New Roman"/>
          <w:i/>
          <w:iCs/>
          <w:szCs w:val="21"/>
        </w:rPr>
        <w:t>Biotechnology and Bioengineering</w:t>
      </w:r>
      <w:r w:rsidRPr="000050C8">
        <w:rPr>
          <w:rFonts w:ascii="Times New Roman" w:eastAsia="等线" w:hAnsi="Times New Roman" w:cs="Times New Roman"/>
          <w:szCs w:val="21"/>
        </w:rPr>
        <w:t xml:space="preserve">, </w:t>
      </w:r>
      <w:r w:rsidRPr="000050C8">
        <w:rPr>
          <w:rFonts w:ascii="Times New Roman" w:eastAsia="等线" w:hAnsi="Times New Roman" w:cs="Times New Roman"/>
          <w:i/>
          <w:iCs/>
          <w:szCs w:val="21"/>
        </w:rPr>
        <w:t>113</w:t>
      </w:r>
      <w:r w:rsidRPr="000050C8">
        <w:rPr>
          <w:rFonts w:ascii="Times New Roman" w:eastAsia="等线" w:hAnsi="Times New Roman" w:cs="Times New Roman"/>
          <w:szCs w:val="21"/>
        </w:rPr>
        <w:t>(3), 492–500. https://doi.org/10.1002/bit.25832</w:t>
      </w:r>
    </w:p>
    <w:p w14:paraId="6E4EB0D7" w14:textId="77777777" w:rsidR="00FB45FE" w:rsidRPr="000050C8" w:rsidRDefault="00FB45FE" w:rsidP="00FB45FE">
      <w:pPr>
        <w:pStyle w:val="ac"/>
        <w:rPr>
          <w:rFonts w:ascii="Times New Roman" w:eastAsia="等线" w:hAnsi="Times New Roman" w:cs="Times New Roman"/>
          <w:szCs w:val="21"/>
        </w:rPr>
      </w:pPr>
      <w:r w:rsidRPr="000050C8">
        <w:rPr>
          <w:rFonts w:ascii="Times New Roman" w:eastAsia="等线" w:hAnsi="Times New Roman" w:cs="Times New Roman"/>
          <w:szCs w:val="21"/>
        </w:rPr>
        <w:lastRenderedPageBreak/>
        <w:t xml:space="preserve">Ball, A. S., Chaparian, R. R., &amp; van Kessel, J. C. (2017). Quorum Sensing Gene Regulation by LuxR/HapR Master Regulators in Vibrios. </w:t>
      </w:r>
      <w:r w:rsidRPr="000050C8">
        <w:rPr>
          <w:rFonts w:ascii="Times New Roman" w:eastAsia="等线" w:hAnsi="Times New Roman" w:cs="Times New Roman"/>
          <w:i/>
          <w:iCs/>
          <w:szCs w:val="21"/>
        </w:rPr>
        <w:t>Journal of Bacteriology</w:t>
      </w:r>
      <w:r w:rsidRPr="000050C8">
        <w:rPr>
          <w:rFonts w:ascii="Times New Roman" w:eastAsia="等线" w:hAnsi="Times New Roman" w:cs="Times New Roman"/>
          <w:szCs w:val="21"/>
        </w:rPr>
        <w:t xml:space="preserve">, </w:t>
      </w:r>
      <w:r w:rsidRPr="000050C8">
        <w:rPr>
          <w:rFonts w:ascii="Times New Roman" w:eastAsia="等线" w:hAnsi="Times New Roman" w:cs="Times New Roman"/>
          <w:i/>
          <w:iCs/>
          <w:szCs w:val="21"/>
        </w:rPr>
        <w:t>199</w:t>
      </w:r>
      <w:r w:rsidRPr="000050C8">
        <w:rPr>
          <w:rFonts w:ascii="Times New Roman" w:eastAsia="等线" w:hAnsi="Times New Roman" w:cs="Times New Roman"/>
          <w:szCs w:val="21"/>
        </w:rPr>
        <w:t>(19). https://doi.org/10.1128/JB.00105-17</w:t>
      </w:r>
    </w:p>
    <w:p w14:paraId="5BE321F0" w14:textId="77777777" w:rsidR="00FB45FE" w:rsidRPr="000050C8" w:rsidRDefault="00FB45FE" w:rsidP="00FB45FE">
      <w:pPr>
        <w:pStyle w:val="ac"/>
        <w:rPr>
          <w:rFonts w:ascii="Times New Roman" w:eastAsia="等线" w:hAnsi="Times New Roman" w:cs="Times New Roman"/>
          <w:szCs w:val="21"/>
        </w:rPr>
      </w:pPr>
      <w:r w:rsidRPr="000050C8">
        <w:rPr>
          <w:rFonts w:ascii="Times New Roman" w:eastAsia="等线" w:hAnsi="Times New Roman" w:cs="Times New Roman"/>
          <w:szCs w:val="21"/>
        </w:rPr>
        <w:t xml:space="preserve">Chen, X., Schauder, S., Potier, N., Van Dorsselaer, A., Pelczer, I., Bassler, B. L., &amp; Hughson, F. M. (2002). Structural identification of a bacterial quorum-sensing signal containing boron. </w:t>
      </w:r>
      <w:r w:rsidRPr="000050C8">
        <w:rPr>
          <w:rFonts w:ascii="Times New Roman" w:eastAsia="等线" w:hAnsi="Times New Roman" w:cs="Times New Roman"/>
          <w:i/>
          <w:iCs/>
          <w:szCs w:val="21"/>
        </w:rPr>
        <w:t>Nature</w:t>
      </w:r>
      <w:r w:rsidRPr="000050C8">
        <w:rPr>
          <w:rFonts w:ascii="Times New Roman" w:eastAsia="等线" w:hAnsi="Times New Roman" w:cs="Times New Roman"/>
          <w:szCs w:val="21"/>
        </w:rPr>
        <w:t xml:space="preserve">, </w:t>
      </w:r>
      <w:r w:rsidRPr="000050C8">
        <w:rPr>
          <w:rFonts w:ascii="Times New Roman" w:eastAsia="等线" w:hAnsi="Times New Roman" w:cs="Times New Roman"/>
          <w:i/>
          <w:iCs/>
          <w:szCs w:val="21"/>
        </w:rPr>
        <w:t>415</w:t>
      </w:r>
      <w:r w:rsidRPr="000050C8">
        <w:rPr>
          <w:rFonts w:ascii="Times New Roman" w:eastAsia="等线" w:hAnsi="Times New Roman" w:cs="Times New Roman"/>
          <w:szCs w:val="21"/>
        </w:rPr>
        <w:t>(6871), 545–549. https://doi.org/10.1038/415545a</w:t>
      </w:r>
    </w:p>
    <w:p w14:paraId="3399DB84" w14:textId="77777777" w:rsidR="00FB45FE" w:rsidRPr="000050C8" w:rsidRDefault="00FB45FE" w:rsidP="00FB45FE">
      <w:pPr>
        <w:pStyle w:val="ac"/>
        <w:rPr>
          <w:rFonts w:ascii="Times New Roman" w:eastAsia="等线" w:hAnsi="Times New Roman" w:cs="Times New Roman"/>
          <w:szCs w:val="21"/>
        </w:rPr>
      </w:pPr>
      <w:r w:rsidRPr="000050C8">
        <w:rPr>
          <w:rFonts w:ascii="Times New Roman" w:eastAsia="等线" w:hAnsi="Times New Roman" w:cs="Times New Roman"/>
          <w:szCs w:val="21"/>
        </w:rPr>
        <w:t xml:space="preserve">Du, W., Xia, J., Zhang, Y., Liu, M. J., Li, H. B., Yan, X. M., Zhang, J. S., Li, N., Zhou, Z. Y., &amp; Xie, W. Z. (2015). Expression of recombinant myostatin propeptide pPIC9K-Msp plasmid in Pichia pastoris. </w:t>
      </w:r>
      <w:r w:rsidRPr="000050C8">
        <w:rPr>
          <w:rFonts w:ascii="Times New Roman" w:eastAsia="等线" w:hAnsi="Times New Roman" w:cs="Times New Roman"/>
          <w:i/>
          <w:iCs/>
          <w:szCs w:val="21"/>
        </w:rPr>
        <w:t>Genetics and Molecular Research</w:t>
      </w:r>
      <w:r w:rsidRPr="000050C8">
        <w:rPr>
          <w:rFonts w:ascii="Times New Roman" w:eastAsia="等线" w:hAnsi="Times New Roman" w:cs="Times New Roman"/>
          <w:szCs w:val="21"/>
        </w:rPr>
        <w:t xml:space="preserve">, </w:t>
      </w:r>
      <w:r w:rsidRPr="000050C8">
        <w:rPr>
          <w:rFonts w:ascii="Times New Roman" w:eastAsia="等线" w:hAnsi="Times New Roman" w:cs="Times New Roman"/>
          <w:i/>
          <w:iCs/>
          <w:szCs w:val="21"/>
        </w:rPr>
        <w:t>14</w:t>
      </w:r>
      <w:r w:rsidRPr="000050C8">
        <w:rPr>
          <w:rFonts w:ascii="Times New Roman" w:eastAsia="等线" w:hAnsi="Times New Roman" w:cs="Times New Roman"/>
          <w:szCs w:val="21"/>
        </w:rPr>
        <w:t>(4), 18414–18420. https://doi.org/10.4238/2015.December.23.29</w:t>
      </w:r>
    </w:p>
    <w:p w14:paraId="30871CF0" w14:textId="77777777" w:rsidR="00FB45FE" w:rsidRPr="000050C8" w:rsidRDefault="00FB45FE" w:rsidP="00FB45FE">
      <w:pPr>
        <w:pStyle w:val="ac"/>
        <w:rPr>
          <w:rFonts w:ascii="Times New Roman" w:eastAsia="等线" w:hAnsi="Times New Roman" w:cs="Times New Roman"/>
          <w:szCs w:val="21"/>
        </w:rPr>
      </w:pPr>
      <w:r w:rsidRPr="000050C8">
        <w:rPr>
          <w:rFonts w:ascii="Times New Roman" w:eastAsia="等线" w:hAnsi="Times New Roman" w:cs="Times New Roman"/>
          <w:szCs w:val="21"/>
        </w:rPr>
        <w:t xml:space="preserve">Khajanchi, B. K., Sha, J., Kozlova, E. V., Erova, T. E., Suarez, G., Sierra, J. C., Popov, V. L., Horneman, A. J., &amp; Chopra, A. K. (2009). N-acylhomoserine lactones involved in quorum sensing control the type VI secretion system, biofilm formation, protease production, and in vivo virulence in a clinical isolate of Aeromonas hydrophila. </w:t>
      </w:r>
      <w:r w:rsidRPr="000050C8">
        <w:rPr>
          <w:rFonts w:ascii="Times New Roman" w:eastAsia="等线" w:hAnsi="Times New Roman" w:cs="Times New Roman"/>
          <w:i/>
          <w:iCs/>
          <w:szCs w:val="21"/>
        </w:rPr>
        <w:t>Microbiology (Reading, England)</w:t>
      </w:r>
      <w:r w:rsidRPr="000050C8">
        <w:rPr>
          <w:rFonts w:ascii="Times New Roman" w:eastAsia="等线" w:hAnsi="Times New Roman" w:cs="Times New Roman"/>
          <w:szCs w:val="21"/>
        </w:rPr>
        <w:t xml:space="preserve">, </w:t>
      </w:r>
      <w:r w:rsidRPr="000050C8">
        <w:rPr>
          <w:rFonts w:ascii="Times New Roman" w:eastAsia="等线" w:hAnsi="Times New Roman" w:cs="Times New Roman"/>
          <w:i/>
          <w:iCs/>
          <w:szCs w:val="21"/>
        </w:rPr>
        <w:t>155</w:t>
      </w:r>
      <w:r w:rsidRPr="000050C8">
        <w:rPr>
          <w:rFonts w:ascii="Times New Roman" w:eastAsia="等线" w:hAnsi="Times New Roman" w:cs="Times New Roman"/>
          <w:szCs w:val="21"/>
        </w:rPr>
        <w:t>(Pt 11), 3518–3531. https://doi.org/10.1099/mic.0.031575-0</w:t>
      </w:r>
    </w:p>
    <w:p w14:paraId="4A6DEFB0" w14:textId="77777777" w:rsidR="00FB45FE" w:rsidRPr="000050C8" w:rsidRDefault="00FB45FE" w:rsidP="00FB45FE">
      <w:pPr>
        <w:pStyle w:val="ac"/>
        <w:rPr>
          <w:rFonts w:ascii="Times New Roman" w:eastAsia="等线" w:hAnsi="Times New Roman" w:cs="Times New Roman"/>
          <w:szCs w:val="21"/>
        </w:rPr>
      </w:pPr>
      <w:r w:rsidRPr="000050C8">
        <w:rPr>
          <w:rFonts w:ascii="Times New Roman" w:eastAsia="等线" w:hAnsi="Times New Roman" w:cs="Times New Roman"/>
          <w:szCs w:val="21"/>
        </w:rPr>
        <w:t xml:space="preserve">Krawczyk, K., Xue, S., Buchmann, P., Charpin-El-Hamri, G., Saxena, P., Hussherr, M.-D., Shao, J., Ye, H., Xie, M., &amp; Fussenegger, M. (2020). Electrogenetic cellular insulin release for real-time glycemic control in type 1 diabetic mice. </w:t>
      </w:r>
      <w:r w:rsidRPr="000050C8">
        <w:rPr>
          <w:rFonts w:ascii="Times New Roman" w:eastAsia="等线" w:hAnsi="Times New Roman" w:cs="Times New Roman"/>
          <w:i/>
          <w:iCs/>
          <w:szCs w:val="21"/>
        </w:rPr>
        <w:t>Science</w:t>
      </w:r>
      <w:r w:rsidRPr="000050C8">
        <w:rPr>
          <w:rFonts w:ascii="Times New Roman" w:eastAsia="等线" w:hAnsi="Times New Roman" w:cs="Times New Roman"/>
          <w:szCs w:val="21"/>
        </w:rPr>
        <w:t xml:space="preserve">, </w:t>
      </w:r>
      <w:r w:rsidRPr="000050C8">
        <w:rPr>
          <w:rFonts w:ascii="Times New Roman" w:eastAsia="等线" w:hAnsi="Times New Roman" w:cs="Times New Roman"/>
          <w:i/>
          <w:iCs/>
          <w:szCs w:val="21"/>
        </w:rPr>
        <w:t>368</w:t>
      </w:r>
      <w:r w:rsidRPr="000050C8">
        <w:rPr>
          <w:rFonts w:ascii="Times New Roman" w:eastAsia="等线" w:hAnsi="Times New Roman" w:cs="Times New Roman"/>
          <w:szCs w:val="21"/>
        </w:rPr>
        <w:t>(6494), 993–1001. https://doi.org/10.1126/science.aau7187</w:t>
      </w:r>
    </w:p>
    <w:p w14:paraId="76911E3B" w14:textId="77777777" w:rsidR="00FB45FE" w:rsidRPr="000050C8" w:rsidRDefault="00FB45FE" w:rsidP="00FB45FE">
      <w:pPr>
        <w:pStyle w:val="ac"/>
        <w:rPr>
          <w:rFonts w:ascii="Times New Roman" w:eastAsia="等线" w:hAnsi="Times New Roman" w:cs="Times New Roman"/>
          <w:szCs w:val="21"/>
        </w:rPr>
      </w:pPr>
      <w:r w:rsidRPr="000050C8">
        <w:rPr>
          <w:rFonts w:ascii="Times New Roman" w:eastAsia="等线" w:hAnsi="Times New Roman" w:cs="Times New Roman"/>
          <w:szCs w:val="21"/>
        </w:rPr>
        <w:t xml:space="preserve">Miller, M. B., Skorupski, K., Lenz, D. H., Taylor, R. K., &amp; Bassler, B. L. (2002). Parallel Quorum Sensing Systems Converge to Regulate Virulence in Vibrio cholerae. </w:t>
      </w:r>
      <w:r w:rsidRPr="000050C8">
        <w:rPr>
          <w:rFonts w:ascii="Times New Roman" w:eastAsia="等线" w:hAnsi="Times New Roman" w:cs="Times New Roman"/>
          <w:i/>
          <w:iCs/>
          <w:szCs w:val="21"/>
        </w:rPr>
        <w:t>Cell</w:t>
      </w:r>
      <w:r w:rsidRPr="000050C8">
        <w:rPr>
          <w:rFonts w:ascii="Times New Roman" w:eastAsia="等线" w:hAnsi="Times New Roman" w:cs="Times New Roman"/>
          <w:szCs w:val="21"/>
        </w:rPr>
        <w:t xml:space="preserve">, </w:t>
      </w:r>
      <w:r w:rsidRPr="000050C8">
        <w:rPr>
          <w:rFonts w:ascii="Times New Roman" w:eastAsia="等线" w:hAnsi="Times New Roman" w:cs="Times New Roman"/>
          <w:i/>
          <w:iCs/>
          <w:szCs w:val="21"/>
        </w:rPr>
        <w:t>110</w:t>
      </w:r>
      <w:r w:rsidRPr="000050C8">
        <w:rPr>
          <w:rFonts w:ascii="Times New Roman" w:eastAsia="等线" w:hAnsi="Times New Roman" w:cs="Times New Roman"/>
          <w:szCs w:val="21"/>
        </w:rPr>
        <w:t>(3), 303–314. https://doi.org/10.1016/S0092-8674(02)00829-2</w:t>
      </w:r>
    </w:p>
    <w:p w14:paraId="3841C1D5" w14:textId="77777777" w:rsidR="00FB45FE" w:rsidRPr="000050C8" w:rsidRDefault="00FB45FE" w:rsidP="00FB45FE">
      <w:pPr>
        <w:pStyle w:val="ac"/>
        <w:rPr>
          <w:rFonts w:ascii="Times New Roman" w:eastAsia="等线" w:hAnsi="Times New Roman" w:cs="Times New Roman"/>
          <w:szCs w:val="21"/>
        </w:rPr>
      </w:pPr>
      <w:r w:rsidRPr="000050C8">
        <w:rPr>
          <w:rFonts w:ascii="Times New Roman" w:eastAsia="等线" w:hAnsi="Times New Roman" w:cs="Times New Roman"/>
          <w:szCs w:val="21"/>
        </w:rPr>
        <w:lastRenderedPageBreak/>
        <w:t xml:space="preserve">Ng, W.-L., &amp; Bassler, B. L. (2009). Bacterial Quorum-Sensing Network Architectures. </w:t>
      </w:r>
      <w:r w:rsidRPr="000050C8">
        <w:rPr>
          <w:rFonts w:ascii="Times New Roman" w:eastAsia="等线" w:hAnsi="Times New Roman" w:cs="Times New Roman"/>
          <w:i/>
          <w:iCs/>
          <w:szCs w:val="21"/>
        </w:rPr>
        <w:t>Annual Review of Genetics</w:t>
      </w:r>
      <w:r w:rsidRPr="000050C8">
        <w:rPr>
          <w:rFonts w:ascii="Times New Roman" w:eastAsia="等线" w:hAnsi="Times New Roman" w:cs="Times New Roman"/>
          <w:szCs w:val="21"/>
        </w:rPr>
        <w:t xml:space="preserve">, </w:t>
      </w:r>
      <w:r w:rsidRPr="000050C8">
        <w:rPr>
          <w:rFonts w:ascii="Times New Roman" w:eastAsia="等线" w:hAnsi="Times New Roman" w:cs="Times New Roman"/>
          <w:i/>
          <w:iCs/>
          <w:szCs w:val="21"/>
        </w:rPr>
        <w:t>43</w:t>
      </w:r>
      <w:r w:rsidRPr="000050C8">
        <w:rPr>
          <w:rFonts w:ascii="Times New Roman" w:eastAsia="等线" w:hAnsi="Times New Roman" w:cs="Times New Roman"/>
          <w:szCs w:val="21"/>
        </w:rPr>
        <w:t>(1), 197–222. https://doi.org/10.1146/annurev-genet-102108-134304</w:t>
      </w:r>
    </w:p>
    <w:p w14:paraId="4DB5E0B8" w14:textId="77777777" w:rsidR="00FB45FE" w:rsidRPr="000050C8" w:rsidRDefault="00FB45FE" w:rsidP="00FB45FE">
      <w:pPr>
        <w:pStyle w:val="ac"/>
        <w:rPr>
          <w:rFonts w:ascii="Times New Roman" w:eastAsia="等线" w:hAnsi="Times New Roman" w:cs="Times New Roman"/>
          <w:szCs w:val="21"/>
        </w:rPr>
      </w:pPr>
      <w:r w:rsidRPr="000050C8">
        <w:rPr>
          <w:rFonts w:ascii="Times New Roman" w:eastAsia="等线" w:hAnsi="Times New Roman" w:cs="Times New Roman"/>
          <w:szCs w:val="21"/>
        </w:rPr>
        <w:t xml:space="preserve">Schauder, S., Shokat, K., Surette, M. G., &amp; Bassler, B. L. (2001). The LuxS family of bacterial autoinducers: Biosynthesis of a novel quorum-sensing signal molecule. </w:t>
      </w:r>
      <w:r w:rsidRPr="000050C8">
        <w:rPr>
          <w:rFonts w:ascii="Times New Roman" w:eastAsia="等线" w:hAnsi="Times New Roman" w:cs="Times New Roman"/>
          <w:i/>
          <w:iCs/>
          <w:szCs w:val="21"/>
        </w:rPr>
        <w:t>Molecular Microbiology</w:t>
      </w:r>
      <w:r w:rsidRPr="000050C8">
        <w:rPr>
          <w:rFonts w:ascii="Times New Roman" w:eastAsia="等线" w:hAnsi="Times New Roman" w:cs="Times New Roman"/>
          <w:szCs w:val="21"/>
        </w:rPr>
        <w:t xml:space="preserve">, </w:t>
      </w:r>
      <w:r w:rsidRPr="000050C8">
        <w:rPr>
          <w:rFonts w:ascii="Times New Roman" w:eastAsia="等线" w:hAnsi="Times New Roman" w:cs="Times New Roman"/>
          <w:i/>
          <w:iCs/>
          <w:szCs w:val="21"/>
        </w:rPr>
        <w:t>41</w:t>
      </w:r>
      <w:r w:rsidRPr="000050C8">
        <w:rPr>
          <w:rFonts w:ascii="Times New Roman" w:eastAsia="等线" w:hAnsi="Times New Roman" w:cs="Times New Roman"/>
          <w:szCs w:val="21"/>
        </w:rPr>
        <w:t>(2), 463–476. https://doi.org/10.1046/j.1365-2958.2001.02532.x</w:t>
      </w:r>
    </w:p>
    <w:p w14:paraId="557AD29A" w14:textId="77777777" w:rsidR="00FB45FE" w:rsidRPr="000050C8" w:rsidRDefault="00FB45FE" w:rsidP="00FB45FE">
      <w:pPr>
        <w:pStyle w:val="ac"/>
        <w:rPr>
          <w:rFonts w:ascii="Times New Roman" w:eastAsia="等线" w:hAnsi="Times New Roman" w:cs="Times New Roman"/>
          <w:szCs w:val="21"/>
        </w:rPr>
      </w:pPr>
      <w:r w:rsidRPr="000050C8">
        <w:rPr>
          <w:rFonts w:ascii="Times New Roman" w:eastAsia="等线" w:hAnsi="Times New Roman" w:cs="Times New Roman"/>
          <w:szCs w:val="21"/>
        </w:rPr>
        <w:t xml:space="preserve">Scorer, C. A., Clare, J. J., McCombie, W. R., Romanos, M. A., &amp; Sreekrishna, K. (1994). Rapid Selection Using G418 of High Copy Number Transformants of Pichia pastoris for High–level Foreign Gene Expression. </w:t>
      </w:r>
      <w:r w:rsidRPr="000050C8">
        <w:rPr>
          <w:rFonts w:ascii="Times New Roman" w:eastAsia="等线" w:hAnsi="Times New Roman" w:cs="Times New Roman"/>
          <w:i/>
          <w:iCs/>
          <w:szCs w:val="21"/>
        </w:rPr>
        <w:t>Bio/Technology</w:t>
      </w:r>
      <w:r w:rsidRPr="000050C8">
        <w:rPr>
          <w:rFonts w:ascii="Times New Roman" w:eastAsia="等线" w:hAnsi="Times New Roman" w:cs="Times New Roman"/>
          <w:szCs w:val="21"/>
        </w:rPr>
        <w:t xml:space="preserve">, </w:t>
      </w:r>
      <w:r w:rsidRPr="000050C8">
        <w:rPr>
          <w:rFonts w:ascii="Times New Roman" w:eastAsia="等线" w:hAnsi="Times New Roman" w:cs="Times New Roman"/>
          <w:i/>
          <w:iCs/>
          <w:szCs w:val="21"/>
        </w:rPr>
        <w:t>12</w:t>
      </w:r>
      <w:r w:rsidRPr="000050C8">
        <w:rPr>
          <w:rFonts w:ascii="Times New Roman" w:eastAsia="等线" w:hAnsi="Times New Roman" w:cs="Times New Roman"/>
          <w:szCs w:val="21"/>
        </w:rPr>
        <w:t>(2), 181–184. https://doi.org/10.1038/nbt0294-181</w:t>
      </w:r>
    </w:p>
    <w:p w14:paraId="63EE3D07" w14:textId="77777777" w:rsidR="00FB45FE" w:rsidRPr="000050C8" w:rsidRDefault="00FB45FE" w:rsidP="00FB45FE">
      <w:pPr>
        <w:pStyle w:val="ac"/>
        <w:rPr>
          <w:rFonts w:ascii="Times New Roman" w:eastAsia="等线" w:hAnsi="Times New Roman" w:cs="Times New Roman"/>
          <w:szCs w:val="21"/>
        </w:rPr>
      </w:pPr>
      <w:r w:rsidRPr="000050C8">
        <w:rPr>
          <w:rFonts w:ascii="Times New Roman" w:eastAsia="等线" w:hAnsi="Times New Roman" w:cs="Times New Roman"/>
          <w:szCs w:val="21"/>
        </w:rPr>
        <w:t xml:space="preserve">Tang, W., &amp; Liu, D. R. (2018). Rewritable multi-event analog recording in bacterial and mammalian cells. </w:t>
      </w:r>
      <w:r w:rsidRPr="000050C8">
        <w:rPr>
          <w:rFonts w:ascii="Times New Roman" w:eastAsia="等线" w:hAnsi="Times New Roman" w:cs="Times New Roman"/>
          <w:i/>
          <w:iCs/>
          <w:szCs w:val="21"/>
        </w:rPr>
        <w:t>Science (New York, N.Y.)</w:t>
      </w:r>
      <w:r w:rsidRPr="000050C8">
        <w:rPr>
          <w:rFonts w:ascii="Times New Roman" w:eastAsia="等线" w:hAnsi="Times New Roman" w:cs="Times New Roman"/>
          <w:szCs w:val="21"/>
        </w:rPr>
        <w:t xml:space="preserve">, </w:t>
      </w:r>
      <w:r w:rsidRPr="000050C8">
        <w:rPr>
          <w:rFonts w:ascii="Times New Roman" w:eastAsia="等线" w:hAnsi="Times New Roman" w:cs="Times New Roman"/>
          <w:i/>
          <w:iCs/>
          <w:szCs w:val="21"/>
        </w:rPr>
        <w:t>360</w:t>
      </w:r>
      <w:r w:rsidRPr="000050C8">
        <w:rPr>
          <w:rFonts w:ascii="Times New Roman" w:eastAsia="等线" w:hAnsi="Times New Roman" w:cs="Times New Roman"/>
          <w:szCs w:val="21"/>
        </w:rPr>
        <w:t>(6385). https://doi.org/10.1126/science.aap8992</w:t>
      </w:r>
    </w:p>
    <w:p w14:paraId="45A822A3" w14:textId="77777777" w:rsidR="00FB45FE" w:rsidRPr="000050C8" w:rsidRDefault="00FB45FE" w:rsidP="00FB45FE">
      <w:pPr>
        <w:pStyle w:val="ac"/>
        <w:rPr>
          <w:rFonts w:ascii="Times New Roman" w:eastAsia="等线" w:hAnsi="Times New Roman" w:cs="Times New Roman"/>
          <w:szCs w:val="21"/>
        </w:rPr>
      </w:pPr>
      <w:r w:rsidRPr="000050C8">
        <w:rPr>
          <w:rFonts w:ascii="Times New Roman" w:eastAsia="等线" w:hAnsi="Times New Roman" w:cs="Times New Roman"/>
          <w:szCs w:val="21"/>
        </w:rPr>
        <w:t xml:space="preserve">Ulm, R., &amp; Jenkins, G. I. (2015). Q&amp;A: How do plants sense and respond to UV-B radiation? </w:t>
      </w:r>
      <w:r w:rsidRPr="000050C8">
        <w:rPr>
          <w:rFonts w:ascii="Times New Roman" w:eastAsia="等线" w:hAnsi="Times New Roman" w:cs="Times New Roman"/>
          <w:i/>
          <w:iCs/>
          <w:szCs w:val="21"/>
        </w:rPr>
        <w:t>BMC Biology</w:t>
      </w:r>
      <w:r w:rsidRPr="000050C8">
        <w:rPr>
          <w:rFonts w:ascii="Times New Roman" w:eastAsia="等线" w:hAnsi="Times New Roman" w:cs="Times New Roman"/>
          <w:szCs w:val="21"/>
        </w:rPr>
        <w:t xml:space="preserve">, </w:t>
      </w:r>
      <w:r w:rsidRPr="000050C8">
        <w:rPr>
          <w:rFonts w:ascii="Times New Roman" w:eastAsia="等线" w:hAnsi="Times New Roman" w:cs="Times New Roman"/>
          <w:i/>
          <w:iCs/>
          <w:szCs w:val="21"/>
        </w:rPr>
        <w:t>13</w:t>
      </w:r>
      <w:r w:rsidRPr="000050C8">
        <w:rPr>
          <w:rFonts w:ascii="Times New Roman" w:eastAsia="等线" w:hAnsi="Times New Roman" w:cs="Times New Roman"/>
          <w:szCs w:val="21"/>
        </w:rPr>
        <w:t>(1), 45. https://doi.org/10.1186/s12915-015-0156-y</w:t>
      </w:r>
    </w:p>
    <w:p w14:paraId="5E45B309" w14:textId="77777777" w:rsidR="00FB45FE" w:rsidRPr="00FB45FE" w:rsidRDefault="00FB45FE" w:rsidP="00FB45FE">
      <w:pPr>
        <w:pStyle w:val="ac"/>
        <w:rPr>
          <w:rFonts w:ascii="等线" w:eastAsia="等线" w:hAnsi="等线"/>
        </w:rPr>
      </w:pPr>
      <w:r w:rsidRPr="000050C8">
        <w:rPr>
          <w:rFonts w:ascii="Times New Roman" w:eastAsia="等线" w:hAnsi="Times New Roman" w:cs="Times New Roman"/>
          <w:szCs w:val="21"/>
        </w:rPr>
        <w:t>侯增淼</w:t>
      </w:r>
      <w:r w:rsidRPr="000050C8">
        <w:rPr>
          <w:rFonts w:ascii="Times New Roman" w:eastAsia="等线" w:hAnsi="Times New Roman" w:cs="Times New Roman"/>
          <w:szCs w:val="21"/>
        </w:rPr>
        <w:t xml:space="preserve">, </w:t>
      </w:r>
      <w:r w:rsidRPr="000050C8">
        <w:rPr>
          <w:rFonts w:ascii="Times New Roman" w:eastAsia="等线" w:hAnsi="Times New Roman" w:cs="Times New Roman"/>
          <w:szCs w:val="21"/>
        </w:rPr>
        <w:t>李晓颖</w:t>
      </w:r>
      <w:r w:rsidRPr="000050C8">
        <w:rPr>
          <w:rFonts w:ascii="Times New Roman" w:eastAsia="等线" w:hAnsi="Times New Roman" w:cs="Times New Roman"/>
          <w:szCs w:val="21"/>
        </w:rPr>
        <w:t xml:space="preserve">, </w:t>
      </w:r>
      <w:r w:rsidRPr="000050C8">
        <w:rPr>
          <w:rFonts w:ascii="Times New Roman" w:eastAsia="等线" w:hAnsi="Times New Roman" w:cs="Times New Roman"/>
          <w:szCs w:val="21"/>
        </w:rPr>
        <w:t>李敏</w:t>
      </w:r>
      <w:r w:rsidRPr="000050C8">
        <w:rPr>
          <w:rFonts w:ascii="Times New Roman" w:eastAsia="等线" w:hAnsi="Times New Roman" w:cs="Times New Roman"/>
          <w:szCs w:val="21"/>
        </w:rPr>
        <w:t xml:space="preserve">, </w:t>
      </w:r>
      <w:r w:rsidRPr="000050C8">
        <w:rPr>
          <w:rFonts w:ascii="Times New Roman" w:eastAsia="等线" w:hAnsi="Times New Roman" w:cs="Times New Roman"/>
          <w:szCs w:val="21"/>
        </w:rPr>
        <w:t>杨金芳</w:t>
      </w:r>
      <w:r w:rsidRPr="000050C8">
        <w:rPr>
          <w:rFonts w:ascii="Times New Roman" w:eastAsia="等线" w:hAnsi="Times New Roman" w:cs="Times New Roman"/>
          <w:szCs w:val="21"/>
        </w:rPr>
        <w:t xml:space="preserve">, </w:t>
      </w:r>
      <w:r w:rsidRPr="000050C8">
        <w:rPr>
          <w:rFonts w:ascii="Times New Roman" w:eastAsia="等线" w:hAnsi="Times New Roman" w:cs="Times New Roman"/>
          <w:szCs w:val="21"/>
        </w:rPr>
        <w:t>杨小琳</w:t>
      </w:r>
      <w:r w:rsidRPr="000050C8">
        <w:rPr>
          <w:rFonts w:ascii="Times New Roman" w:eastAsia="等线" w:hAnsi="Times New Roman" w:cs="Times New Roman"/>
          <w:szCs w:val="21"/>
        </w:rPr>
        <w:t xml:space="preserve">, </w:t>
      </w:r>
      <w:r w:rsidRPr="000050C8">
        <w:rPr>
          <w:rFonts w:ascii="Times New Roman" w:eastAsia="等线" w:hAnsi="Times New Roman" w:cs="Times New Roman"/>
          <w:szCs w:val="21"/>
        </w:rPr>
        <w:t>赵金礼</w:t>
      </w:r>
      <w:r w:rsidRPr="000050C8">
        <w:rPr>
          <w:rFonts w:ascii="Times New Roman" w:eastAsia="等线" w:hAnsi="Times New Roman" w:cs="Times New Roman"/>
          <w:szCs w:val="21"/>
        </w:rPr>
        <w:t xml:space="preserve">, Hou, Z., Li, X., Li, M., Yang, J., Yang, X., &amp; Zhao, J. (2019). </w:t>
      </w:r>
      <w:r w:rsidRPr="000050C8">
        <w:rPr>
          <w:rFonts w:ascii="Times New Roman" w:eastAsia="等线" w:hAnsi="Times New Roman" w:cs="Times New Roman"/>
          <w:szCs w:val="21"/>
        </w:rPr>
        <w:t>重组人源性胶原蛋白的制备及表征</w:t>
      </w:r>
      <w:r w:rsidRPr="000050C8">
        <w:rPr>
          <w:rFonts w:ascii="Times New Roman" w:eastAsia="等线" w:hAnsi="Times New Roman" w:cs="Times New Roman"/>
          <w:szCs w:val="21"/>
        </w:rPr>
        <w:t xml:space="preserve">. </w:t>
      </w:r>
      <w:r w:rsidRPr="000050C8">
        <w:rPr>
          <w:rFonts w:ascii="Times New Roman" w:eastAsia="等线" w:hAnsi="Times New Roman" w:cs="Times New Roman"/>
          <w:szCs w:val="21"/>
        </w:rPr>
        <w:t>生物工程学报</w:t>
      </w:r>
      <w:r w:rsidRPr="000050C8">
        <w:rPr>
          <w:rFonts w:ascii="Times New Roman" w:eastAsia="等线" w:hAnsi="Times New Roman" w:cs="Times New Roman"/>
          <w:szCs w:val="21"/>
        </w:rPr>
        <w:t xml:space="preserve">, </w:t>
      </w:r>
      <w:r w:rsidRPr="000050C8">
        <w:rPr>
          <w:rFonts w:ascii="Times New Roman" w:eastAsia="等线" w:hAnsi="Times New Roman" w:cs="Times New Roman"/>
          <w:i/>
          <w:iCs/>
          <w:szCs w:val="21"/>
        </w:rPr>
        <w:t>35</w:t>
      </w:r>
      <w:r w:rsidRPr="000050C8">
        <w:rPr>
          <w:rFonts w:ascii="Times New Roman" w:eastAsia="等线" w:hAnsi="Times New Roman" w:cs="Times New Roman"/>
          <w:szCs w:val="21"/>
        </w:rPr>
        <w:t>(2), 319–326.</w:t>
      </w:r>
    </w:p>
    <w:p w14:paraId="155A954C" w14:textId="32F248B8" w:rsidR="00B7013F" w:rsidRPr="006E1B77" w:rsidRDefault="00B7013F" w:rsidP="006E1B77">
      <w:r>
        <w:fldChar w:fldCharType="end"/>
      </w:r>
    </w:p>
    <w:sectPr w:rsidR="00B7013F" w:rsidRPr="006E1B7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B72101"/>
    <w:multiLevelType w:val="hybridMultilevel"/>
    <w:tmpl w:val="54303898"/>
    <w:lvl w:ilvl="0" w:tplc="3FEC97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E487302"/>
    <w:multiLevelType w:val="hybridMultilevel"/>
    <w:tmpl w:val="48C2CB62"/>
    <w:lvl w:ilvl="0" w:tplc="68480E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4B11BFB"/>
    <w:multiLevelType w:val="hybridMultilevel"/>
    <w:tmpl w:val="0C686196"/>
    <w:lvl w:ilvl="0" w:tplc="25046F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C3F"/>
    <w:rsid w:val="000050C8"/>
    <w:rsid w:val="00016A30"/>
    <w:rsid w:val="00034870"/>
    <w:rsid w:val="00160236"/>
    <w:rsid w:val="00171EF2"/>
    <w:rsid w:val="00175143"/>
    <w:rsid w:val="00273159"/>
    <w:rsid w:val="002A521B"/>
    <w:rsid w:val="003050E2"/>
    <w:rsid w:val="00321B77"/>
    <w:rsid w:val="00340894"/>
    <w:rsid w:val="00341261"/>
    <w:rsid w:val="005421E2"/>
    <w:rsid w:val="005A7344"/>
    <w:rsid w:val="006B4613"/>
    <w:rsid w:val="006D6A51"/>
    <w:rsid w:val="006E1B77"/>
    <w:rsid w:val="0077219D"/>
    <w:rsid w:val="008C3CE1"/>
    <w:rsid w:val="009018C9"/>
    <w:rsid w:val="009230CD"/>
    <w:rsid w:val="00962165"/>
    <w:rsid w:val="00AC2B92"/>
    <w:rsid w:val="00AD587C"/>
    <w:rsid w:val="00AE3F88"/>
    <w:rsid w:val="00B01D95"/>
    <w:rsid w:val="00B7013F"/>
    <w:rsid w:val="00B84230"/>
    <w:rsid w:val="00BF440D"/>
    <w:rsid w:val="00C45927"/>
    <w:rsid w:val="00DC0881"/>
    <w:rsid w:val="00E00320"/>
    <w:rsid w:val="00EC10EA"/>
    <w:rsid w:val="00F50C3F"/>
    <w:rsid w:val="00FB45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57EF1"/>
  <w15:chartTrackingRefBased/>
  <w15:docId w15:val="{EAA0C7E5-C4E3-4E14-B6A6-B69A2D7D5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01D9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01D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421E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421E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50C3F"/>
    <w:pPr>
      <w:ind w:firstLineChars="200" w:firstLine="420"/>
    </w:pPr>
  </w:style>
  <w:style w:type="character" w:customStyle="1" w:styleId="10">
    <w:name w:val="标题 1 字符"/>
    <w:basedOn w:val="a0"/>
    <w:link w:val="1"/>
    <w:uiPriority w:val="9"/>
    <w:rsid w:val="00B01D95"/>
    <w:rPr>
      <w:b/>
      <w:bCs/>
      <w:kern w:val="44"/>
      <w:sz w:val="44"/>
      <w:szCs w:val="44"/>
    </w:rPr>
  </w:style>
  <w:style w:type="character" w:customStyle="1" w:styleId="20">
    <w:name w:val="标题 2 字符"/>
    <w:basedOn w:val="a0"/>
    <w:link w:val="2"/>
    <w:uiPriority w:val="9"/>
    <w:rsid w:val="00B01D9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421E2"/>
    <w:rPr>
      <w:b/>
      <w:bCs/>
      <w:sz w:val="32"/>
      <w:szCs w:val="32"/>
    </w:rPr>
  </w:style>
  <w:style w:type="character" w:customStyle="1" w:styleId="40">
    <w:name w:val="标题 4 字符"/>
    <w:basedOn w:val="a0"/>
    <w:link w:val="4"/>
    <w:uiPriority w:val="9"/>
    <w:rsid w:val="005421E2"/>
    <w:rPr>
      <w:rFonts w:asciiTheme="majorHAnsi" w:eastAsiaTheme="majorEastAsia" w:hAnsiTheme="majorHAnsi" w:cstheme="majorBidi"/>
      <w:b/>
      <w:bCs/>
      <w:sz w:val="28"/>
      <w:szCs w:val="28"/>
    </w:rPr>
  </w:style>
  <w:style w:type="paragraph" w:styleId="a4">
    <w:name w:val="Balloon Text"/>
    <w:basedOn w:val="a"/>
    <w:link w:val="a5"/>
    <w:uiPriority w:val="99"/>
    <w:semiHidden/>
    <w:unhideWhenUsed/>
    <w:rsid w:val="005421E2"/>
    <w:rPr>
      <w:sz w:val="18"/>
      <w:szCs w:val="18"/>
    </w:rPr>
  </w:style>
  <w:style w:type="character" w:customStyle="1" w:styleId="a5">
    <w:name w:val="批注框文本 字符"/>
    <w:basedOn w:val="a0"/>
    <w:link w:val="a4"/>
    <w:uiPriority w:val="99"/>
    <w:semiHidden/>
    <w:rsid w:val="005421E2"/>
    <w:rPr>
      <w:sz w:val="18"/>
      <w:szCs w:val="18"/>
    </w:rPr>
  </w:style>
  <w:style w:type="character" w:styleId="a6">
    <w:name w:val="Hyperlink"/>
    <w:basedOn w:val="a0"/>
    <w:uiPriority w:val="99"/>
    <w:unhideWhenUsed/>
    <w:rsid w:val="006E1B77"/>
    <w:rPr>
      <w:color w:val="0563C1" w:themeColor="hyperlink"/>
      <w:u w:val="single"/>
    </w:rPr>
  </w:style>
  <w:style w:type="character" w:styleId="a7">
    <w:name w:val="annotation reference"/>
    <w:basedOn w:val="a0"/>
    <w:uiPriority w:val="99"/>
    <w:semiHidden/>
    <w:unhideWhenUsed/>
    <w:rsid w:val="006E1B77"/>
    <w:rPr>
      <w:sz w:val="21"/>
      <w:szCs w:val="21"/>
    </w:rPr>
  </w:style>
  <w:style w:type="paragraph" w:styleId="a8">
    <w:name w:val="annotation text"/>
    <w:basedOn w:val="a"/>
    <w:link w:val="a9"/>
    <w:uiPriority w:val="99"/>
    <w:semiHidden/>
    <w:unhideWhenUsed/>
    <w:rsid w:val="006E1B77"/>
    <w:pPr>
      <w:jc w:val="left"/>
    </w:pPr>
  </w:style>
  <w:style w:type="character" w:customStyle="1" w:styleId="a9">
    <w:name w:val="批注文字 字符"/>
    <w:basedOn w:val="a0"/>
    <w:link w:val="a8"/>
    <w:uiPriority w:val="99"/>
    <w:semiHidden/>
    <w:rsid w:val="006E1B77"/>
  </w:style>
  <w:style w:type="paragraph" w:styleId="aa">
    <w:name w:val="annotation subject"/>
    <w:basedOn w:val="a8"/>
    <w:next w:val="a8"/>
    <w:link w:val="ab"/>
    <w:uiPriority w:val="99"/>
    <w:semiHidden/>
    <w:unhideWhenUsed/>
    <w:rsid w:val="006E1B77"/>
    <w:rPr>
      <w:b/>
      <w:bCs/>
    </w:rPr>
  </w:style>
  <w:style w:type="character" w:customStyle="1" w:styleId="ab">
    <w:name w:val="批注主题 字符"/>
    <w:basedOn w:val="a9"/>
    <w:link w:val="aa"/>
    <w:uiPriority w:val="99"/>
    <w:semiHidden/>
    <w:rsid w:val="006E1B77"/>
    <w:rPr>
      <w:b/>
      <w:bCs/>
    </w:rPr>
  </w:style>
  <w:style w:type="paragraph" w:styleId="ac">
    <w:name w:val="Bibliography"/>
    <w:basedOn w:val="a"/>
    <w:next w:val="a"/>
    <w:uiPriority w:val="37"/>
    <w:unhideWhenUsed/>
    <w:rsid w:val="00B7013F"/>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sinobiological.com/research/enzymes/phosphatidylinositol-3-kinase" TargetMode="External"/><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F16677-0937-4BDE-B443-EB37D37256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578</TotalTime>
  <Pages>1</Pages>
  <Words>7541</Words>
  <Characters>42990</Characters>
  <Application>Microsoft Office Word</Application>
  <DocSecurity>0</DocSecurity>
  <Lines>358</Lines>
  <Paragraphs>100</Paragraphs>
  <ScaleCrop>false</ScaleCrop>
  <Company/>
  <LinksUpToDate>false</LinksUpToDate>
  <CharactersWithSpaces>50431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碗妹</dc:creator>
  <cp:keywords/>
  <dc:description/>
  <cp:lastModifiedBy>奕晨 汪</cp:lastModifiedBy>
  <cp:revision>7</cp:revision>
  <dcterms:created xsi:type="dcterms:W3CDTF">2021-02-15T03:02:00Z</dcterms:created>
  <dcterms:modified xsi:type="dcterms:W3CDTF">2021-02-16T16:21:00Z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zotero-version="5.0.94"&gt;&lt;session id="Th45YQD5"/&gt;&lt;style id="http://www.zotero.org/styles/apa" locale="en-US" hasBibliography="1" bibliographyStyleHasBeenSet="1"/&gt;&lt;prefs&gt;&lt;pref name="fieldType" value="Field"/&gt;&lt;/prefs&gt;&lt;/data&gt;</vt:lpwstr>
  </property>
</Properties>
</file>