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FakeDoc_variety1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has a form:</w:t>
      </w:r>
    </w:p>
    <w:p>
      <w:r>
        <w:drawing>
          <wp:inline distT="0" distB="0" distL="114300" distR="114300">
            <wp:extent cx="5269230" cy="32861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 Battery SuperCharger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 Domodroid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 (access to personal information such as telephone numbers):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26160" cy="49530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0145" cy="401320"/>
            <wp:effectExtent l="0" t="0" r="133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4785" cy="152527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4058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1673860"/>
            <wp:effectExtent l="0" t="0" r="952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968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325" cy="179197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103755"/>
            <wp:effectExtent l="0" t="0" r="635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3900" cy="43688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18210"/>
            <wp:effectExtent l="0" t="0" r="635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6144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35B17"/>
    <w:rsid w:val="705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2019-05-17T13:52:25Z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