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全院智能体运行监控情况报告模板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××××医院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全院智能体运行监控情况报告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sz w:val="22"/>
        </w:rPr>
        <w:t>统计周期：2026年1月1日 — 2026年6月30日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sz w:val="22"/>
        </w:rPr>
        <w:t>统计范围：全院（含分院区）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sz w:val="22"/>
        </w:rPr>
        <w:t>编制单位：信息科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sz w:val="22"/>
        </w:rPr>
        <w:t>编制日期：2026年7月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i w:val="true"/>
          <w:color w:val="8f959e"/>
          <w:sz w:val="22"/>
        </w:rPr>
        <w:t>模板说明：本报告由智能体管理平台基于监控平台实时与聚合数据一键生成；文中全部数据、图表与综述均为示例，供模板设计参考。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目  录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提示：在 Word 中右键点击目录区域，选择“更新域”自动生成/刷新目录。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一、监控总体情况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（一）总体监控概览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42个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纳管智能体总数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126.8万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累计调用次数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96.8%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任务执行成功率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85.7%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智能体在线率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38.6万元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使用成本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口径：累计调用次数、任务执行成功率为统计周期累计值；智能体在线率＝实时在线智能体数量÷纳管智能体总数；使用成本为统计周期内算力、许可、运维等各类成本之和。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截至2026年6月30日，全院纳管智能体42个，统计周期内累计调用126.8万次，任务执行成功率96.8%，实时在线率85.7%，使用成本合计38.6万元。业务、状态、成本、安全四个维度监控指标总体处于受控区间，全院智能体运行平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（二）监控告警维度分布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图1-1 四大监控维度告警次数分布（次）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统计周期内监控平台累计产生告警68次，其中业务监控30次（44%）、状态监控21次（31%）、成本监控9次（13%）、安全监控8次（12%）。告警集中于业务与状态两个维度，主要与高峰时段接口及算力资源紧张相关，具体分析见第六部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二、业务监控情况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（一）任务执行情况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96.8%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任务执行成功率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2.1%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任务中断率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83.5%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自助解决率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240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图2-1 任务执行成功率与任务中断率月度趋势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统计周期内任务执行成功率由1月的94.6%稳步提升至6月的96.8%，任务中断率由3.4%降至2.1%，自助解决率83.5%。任务执行质量持续改善，中断任务主要集中于高峰时段的接口超时场景。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（二）调用情况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126.8万次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累计调用次数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1.12万次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当日调用次数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71%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TOP10智能体调用占比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288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图2-2 调用次数月度趋势（万次；平台支持日/周/月粒度切换）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月度调用量由1月的14.2万次增长至6月的28.8万次，累计增长102.8%，月均环比增长15.2%；报告导出当日调用1.12万次。调用量持续攀升，反映智能体应用已逐步融入日常诊疗与管理流程，需同步关注高峰时段资源保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（三）响应性能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1.7秒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平均响应时间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4.0秒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响应时间P95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6.2秒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响应时间P99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0.9%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响应超时率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86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并发数（峰值）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42次/秒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吞吐量（峰值）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860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图2-3 响应时间P95/P99与平均值周度趋势（近12个周期，秒）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近12周平均响应时间稳定在1.7—2.0秒，P95为4.0秒、P99为6.2秒，均呈缓慢下降趋势；响应超时率0.9%，峰值并发86、峰值吞吐量42次/秒。P99与平均值差距较大，提示长尾请求集中于复杂多步任务，可针对高频长链路任务优化编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（四）任务链路与工具调用质量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4.6步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单任务平均推理步数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320毫秒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平均工具调用时延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145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图2-4 工具链路质量指标（%）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单任务平均推理步数4.6步，平均工具调用时延320毫秒。工具执行成功率97.1%、工具选择准确率94.2%、参数提取准确率92.5%、知识库命中率88.7%。知识库命中率相对偏低，建议对未命中问题进行归因分析并补充医学知识条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（五）医生采纳与用户满意度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76.4%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医生采纳率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4.6分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用户满意度（5分制）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192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图2-5 医生采纳率与用户满意度月度趋势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医生采纳率由1月的68.2%提升至6月的76.4%，用户满意度由4.2分提升至4.6分，二者均连续6个月上升，表明智能体输出质量获得临床认可。对采纳率低于60%的智能体，已列入专项优化清单。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三、状态监控情况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（一）实时在线/离线情况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36个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实时在线智能体数量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85.7%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智能体在线率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2个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实时离线智能体数量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4.8%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智能体离线率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1.6小时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平均离线时长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289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图3-1 智能体实时运行状态分布（个）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口径：在线率/离线率分母均为纳管智能体总数；平均离线时长为当前离线智能体自离线时点起算的平均持续时长。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截至报告导出时，全院42个纳管智能体中在线36个（85.7%）、离线2个（4.8%）、异常2个（4.8%）、禁用2个（4.8%）。离线智能体平均离线时长1.6小时，均已触发自动告警并通知责任工程师处置。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（二）禁用与异常情况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2个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累计禁用智能体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4.8%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禁用数量占比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4个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累计异常智能体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9.5%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异常数量占比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38分钟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平均异常持续时长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241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图3-2 月度新增异常/禁用智能体数量（个；平台支持日/周/月粒度切换）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统计周期内累计新增异常智能体4个、新增禁用智能体2个，平均异常持续时长38分钟。当前2个异常智能体情况如下：一是××检验结果解读助手，因LIS接口网关超时导致响应失败，正在实施接口扩容，预计××日恢复；二是××随访管理助手，因供应商模型服务升级临时异常，已按变更流程报备，预计××日恢复。异常期间相关业务均已切换至人工流程，未对临床工作造成影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（三）各科室智能体状态分布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050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图3-3 各科室智能体运行状态构成（个）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从科室维度看，在线智能体主要分布于放射科（7个）、检验科（5个）、心内科（5个）；异常智能体分布于放射科、药剂科各1个，离线智能体分布于检验科、护理部各1个，禁用智能体分布于呼吸科、病案室各1个。各科室在线、离线、异常、禁用状态数量占比可在平台按科室下钻查看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四、成本监控情况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（一）单位成本情况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0.31元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单次会话平均成本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0.42元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单任务平均成本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38.6万元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使用成本合计</w:t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统计周期内单次会话平均成本0.31元、单任务平均成本0.42元，环比分别下降6.1%、4.5%，规模效应逐步显现。个别高推理步数智能体单任务成本超过1元，已纳入成本专项优化范围。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（二）算力资源使用情况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1935"/>
        <w:gridCol w:w="1830"/>
        <w:gridCol w:w="1620"/>
        <w:gridCol w:w="1620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资源类型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累计使用量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当日使用量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累计使用率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当日使用率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CPU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4.2万核·时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286核·时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58.6%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62.4%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GPU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1.8万卡·时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128卡·时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68.2%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71.5%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内存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8.6万GB·时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590GB·时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61.3%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66.0%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716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图4-1 CPU/GPU/内存使用率周度趋势（近12个周期；平台支持日/周/月粒度切换）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近12周CPU、GPU、内存使用率整体呈上升趋势，GPU当日使用率已达71.5%，距80%预警阈值余量收窄。按当前调用量增速测算，GPU资源预计于四季度触及阈值，建议提前启动算力扩容或推理优化（模型量化、缓存复用）方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（三）Token使用情况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12.5亿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Token累计使用量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820万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当日Token使用量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1850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单任务输入Token均值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620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单任务输出Token均值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574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图4-2 Token使用量月度趋势（亿；含输入/输出拆分，平台支持日/周/月粒度切换）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统计周期内Token累计使用12.5亿，其中输入Token 10.4亿、输出Token 2.1亿；月度用量由1.40亿增至2.84亿，与调用量增长基本同步。单任务输入Token均值1850、输出Token均值620，输入占比偏高，建议压缩系统提示词与检索上下文长度，预计可降低Token成本10%以上。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五、安全监控情况</w:t>
      </w:r>
      <w:bookmarkEnd w:id="1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（一）安全事件总体情况</w:t>
      </w:r>
      <w:bookmarkEnd w:id="1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288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图5-1 安全事件检出/拦截次数分布（次）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统计周期内安全防护体系累计检出/拦截安全事件184次，其中异常/对抗输入检出126次、有害内容拦截38次、敏感数据外发拦截17次、工具越权调用3次，全部事件均已自动阻断并留存审计日志。3次工具越权调用经复核为权限配置错误所致，已完成权限收敛，未造成数据泄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（二）安全关键指标达标情况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2940"/>
        <w:gridCol w:w="1275"/>
        <w:gridCol w:w="1380"/>
        <w:gridCol w:w="1305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安全维度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监控指标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本期值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管理目标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达标情况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输入安全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Prompt注入攻击成功率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0.02%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≤0.1%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达标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输入安全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输入毒性/敏感词命中率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0.35%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≤0.5%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达标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输出安全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幻觉检测率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1.8%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≤2.0%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达标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输出安全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输出内容合规率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99.6%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≥99.5%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达标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输出安全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内容安全误拦率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0.7%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≤1.0%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达标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输出安全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医疗免责提示语覆盖率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达标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数据安全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越权访问拒绝率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达标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数据安全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PHI/PII泄露率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达标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工具安全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工具调用高危请求拒绝率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达标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口径：幻觉检测率为质量抽检样本中检出幻觉输出的比例；医疗免责提示语覆盖率＝附带免责提示的医疗建议输出数÷应附带免责提示的输出总数。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输入、输出、数据、工具四类安全指标全部达标：Prompt注入攻击成功率0.02%，幻觉检测率1.8%，输出内容合规率99.6%，医疗免责提示语覆盖率100%，越权访问拒绝率与工具调用高危请求拒绝率均为100%，PHI/PII泄露率为0。幻觉检测率虽在目标范围内，但涉及临床决策类智能体的幻觉样本将逐例复盘，持续压降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六、监控告警与处置情况</w:t>
      </w:r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（一）告警总体情况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68次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告警次数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3次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故障次数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42分钟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故障平均恢复时间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口径：告警为四维监控指标越限产生的提示（较轻）；故障为造成智能体服务不可用的事件；故障平均恢复时间为异常智能体恢复正常的平均耗时。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907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图6-1 告警次数周度趋势（近12个周期，次）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近12周累计产生告警68次，周均5.7次，整体呈波动下降趋势，峰值出现在第1周（8次），与月初调用高峰重合。统计周期内发生故障3次，故障平均恢复时间42分钟，均在应急预案时限内完成处置。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（二）告警原因分析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110"/>
        <w:gridCol w:w="1005"/>
        <w:gridCol w:w="480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监控维度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告警次数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占比</w:t>
            </w:r>
          </w:p>
        </w:tc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主要成因分析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业务监控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44.1%</w:t>
            </w:r>
          </w:p>
        </w:tc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高峰时段响应超时、任务中断率瞬时越限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状态监控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21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30.9%</w:t>
            </w:r>
          </w:p>
        </w:tc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接口网关波动导致智能体短时离线、心跳丢失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成本监控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13.2%</w:t>
            </w:r>
          </w:p>
        </w:tc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个别智能体调用量与Token消耗突增，触发预算阈值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安全监控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11.8%</w:t>
            </w:r>
          </w:p>
        </w:tc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输出内容触发敏感词拦截、异常频次访问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告警集中于业务监控与状态监控维度（合计75.0%），成因均与高峰期算力和接口资源紧张相关；成本监控告警提示部分智能体用量增长快于预算，需同步优化配额管理。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（三）典型问题及处理方案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45"/>
        <w:gridCol w:w="2655"/>
        <w:gridCol w:w="915"/>
        <w:gridCol w:w="2205"/>
        <w:gridCol w:w="1005"/>
        <w:gridCol w:w="855"/>
      </w:tblGrid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典型问题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影响范围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处理方案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处理进展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责任方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影像报告解读助手高峰期P99响应超时告警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放射科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接口网关扩容，错峰调度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信息科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用药审核助手Token消耗突增触发成本预警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药剂科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排查提示词循环调用缺陷并修复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进行中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供应商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随访管理助手因LIS接口异常离线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护理部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优化接口重连机制并回归测试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供应商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本期典型问题3项，2项已闭环、1项处理中；未闭环事项已列入下期重点跟踪清单。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七、报告总结</w:t>
      </w:r>
      <w:bookmarkEnd w:id="2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（一）存在的问题</w:t>
      </w:r>
      <w:bookmarkEnd w:id="2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一是高峰期性能余量不足。业务与状态监控告警合计占75.0%，均与高峰时段算力、接口资源紧张相关，P99响应时间与平均值差距明显，长尾请求体验有待改善。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二是知识库支撑能力偏弱。知识库命中率88.7%，低于工具链路其他指标，部分专科问题检索不到相应知识条目，影响回答质量与医生采纳率进一步提升。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三是算力与Token成本增长较快。GPU当日使用率已达71.5%，距预警阈值余量收窄；Token月度用量半年翻番，输入Token占比偏高，成本配额机制有待完善。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四是个别安全细项需持续关注。工具越权调用发生3次，虽已闭环，但暴露权限配置管理薄弱环节；临床决策类智能体幻觉样本仍需逐例复盘压降。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（二）下一步工作建议</w:t>
      </w:r>
      <w:bookmarkEnd w:id="2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一是实施高峰期资源保障专项。完成接口网关与GPU算力扩容，对TOP10高频智能体实行资源优先保障，将P99响应时间控制在5秒以内。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二是开展知识库补链行动。对知识库未命中问题逐条归因，按专科补充医学知识条目与指南文献，年底前将知识库命中率提升至93%以上。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三是完善成本配额管理。按智能体设定调用量、Token与算力预算阈值，超限自动预警并纳入月度运营分析；推进提示词压缩与推理缓存优化，降低单任务成本。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四是强化安全纵深防御。建立工具权限最小化配置基线与季度复核机制，对临床决策类智能体开展幻觉专项治理，保持各项安全指标100%达标。</w:t>
      </w:r>
    </w:p>
    <w:p>
      <w:pPr>
        <w:spacing w:before="120" w:after="120" w:line="288" w:lineRule="auto"/>
        <w:ind w:left="0" w:firstLine="0"/>
        <w:jc w:val="right"/>
      </w:pPr>
      <w:r>
        <w:rPr>
          <w:rFonts w:eastAsia="等线" w:ascii="Arial" w:cs="Arial" w:hAnsi="Arial"/>
          <w:sz w:val="22"/>
        </w:rPr>
        <w:t>××××医院信息科</w:t>
      </w:r>
    </w:p>
    <w:p>
      <w:pPr>
        <w:spacing w:before="120" w:after="120" w:line="288" w:lineRule="auto"/>
        <w:ind w:left="0" w:firstLine="0"/>
        <w:jc w:val="right"/>
      </w:pPr>
      <w:r>
        <w:rPr>
          <w:rFonts w:eastAsia="等线" w:ascii="Arial" w:cs="Arial" w:hAnsi="Arial"/>
          <w:sz w:val="22"/>
        </w:rPr>
        <w:t>2026年7月×日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附1：监控指标体系及口径说明</w:t>
      </w:r>
      <w:bookmarkEnd w:id="2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全院智能体监控指标体系分为业务、状态、成本、安全四个维度，共70项指标，指标数据由智能体管理平台自动采集与计算，口径如下。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（一）业务监控指标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45"/>
        <w:gridCol w:w="2475"/>
        <w:gridCol w:w="5160"/>
      </w:tblGrid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指标名称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指标口径说明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任务执行成功率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成功完成的任务数÷任务总数×100%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任务中断率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因异常、超时或人工终止而中断的任务数÷任务总数×100%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自助解决率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无需转人工即完成闭环的会话数÷会话总数×100%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累计调用次数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统计周期内智能体被调用的总次数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当日调用次数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报告导出当日0时至当前时刻的调用次数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调用次数日/周/月趋势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按日/周/月粒度统计的调用次数时间序列，用于观察增长与波动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响应时间P95/P99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95%、99%分位请求的响应耗时，反映长尾性能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平均响应时间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全部请求从发起到返回结果耗时的算术平均值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响应超时率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超过预设超时阈值的请求数÷请求总数×100%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并发数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同一时刻正在处理的请求数，报表取峰值与均值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吞吐量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单位时间内成功处理的请求数（次/秒）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单任务平均推理步数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完成单个任务平均经历的模型推理/规划步数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工具选择准确率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智能体选用工具正确的次数÷工具调用总次数×100%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参数提取准确率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工具调用入参提取正确的次数÷工具调用总次数×100%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工具执行成功率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工具调用返回成功的次数÷工具调用总次数×100%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平均工具调用时延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工具从发起调用到返回结果的平均耗时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知识库命中率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检索到相关知识条目的请求数÷触发知识检索的请求总数×100%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医生采纳率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医生采纳智能体输出建议的次数÷推送建议总次数×100%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用户满意度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用户对智能体服务的评价得分均值（5分制）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（二）状态监控指标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45"/>
        <w:gridCol w:w="2475"/>
        <w:gridCol w:w="5160"/>
      </w:tblGrid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指标名称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指标口径说明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实时在线智能体数量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当前处于在线状态的智能体个数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智能体在线率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实时在线智能体数量÷纳管智能体总数×100%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实时离线智能体数量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当前处于离线状态（心跳丢失/服务不可达）的智能体个数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智能体离线率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实时离线智能体数量÷纳管智能体总数×100%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智能体离线时长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智能体自离线时点起持续的时长，报表取平均值与最大值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累计禁用智能体数量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统计周期内被管理员禁用的智能体累计个数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禁用智能体数量占比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禁用智能体数量÷纳管智能体总数×100%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日/周/月新增禁用智能体数量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按日/周/月粒度统计的新增禁用个数时间序列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累计异常智能体数量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统计周期内发生过运行异常的智能体累计个数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异常智能体数量占比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异常智能体数量÷纳管智能体总数×100%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日/周/月新增异常智能体数量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按日/周/月粒度统计的新增异常个数时间序列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智能体异常持续时长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智能体自异常发生至恢复正常的持续时长，报表取平均值与最大值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在线状态的各科室智能体数量比例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各科室在线智能体数量÷全院在线智能体数量×100%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离线状态的各科室智能体数量比例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各科室离线智能体数量÷全院离线智能体数量×100%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异常状态的各科室智能体数量比例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各科室异常智能体数量÷全院异常智能体数量×100%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禁用状态的各科室智能体数量比例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各科室禁用智能体数量÷全院禁用智能体数量×100%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（三）成本监控指标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45"/>
        <w:gridCol w:w="2475"/>
        <w:gridCol w:w="5160"/>
      </w:tblGrid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指标名称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指标口径说明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单次会话平均成本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统计周期内使用总成本÷会话总数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单任务平均成本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统计周期内使用总成本÷任务总数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CPU累计使用量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统计周期内智能体消耗的CPU资源总量（核·时）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当日CPU使用量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报告导出当日消耗的CPU资源量（核·时）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CPU累计使用率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统计周期内CPU实际占用÷CPU资源配额×100%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当日CPU使用率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报告导出当日CPU实际占用÷CPU资源配额×100%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CPU使用率日/周/月趋势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按日/周/月粒度统计的CPU使用率时间序列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GPU累计使用量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统计周期内智能体消耗的GPU资源总量（卡·时）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当日GPU使用量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报告导出当日消耗的GPU资源量（卡·时）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GPU累计使用率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统计周期内GPU实际占用÷GPU资源配额×100%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当日GPU使用率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报告导出当日GPU实际占用÷GPU资源配额×100%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GPU使用率日/周/月趋势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按日/周/月粒度统计的GPU使用率时间序列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内存累计使用量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统计周期内智能体消耗的内存资源总量（GB·时）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当日内存使用量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报告导出当日消耗的内存资源量（GB·时）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内存累计使用率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统计周期内内存实际占用÷内存资源配额×100%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当日内存使用率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报告导出当日内存实际占用÷内存资源配额×100%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内存使用率日/周/月趋势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按日/周/月粒度统计的内存使用率时间序列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Token累计使用量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统计周期内输入与输出Token消耗总量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当日Token使用量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报告导出当日输入与输出Token消耗量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单任务输入Token均值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单个任务平均消耗的输入（Prompt）Token数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21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单任务输出Token均值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单个任务平均生成的输出（Completion）Token数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Token使用量日/周/月趋势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按日/周/月粒度统计的Token使用量时间序列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（四）安全监控指标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45"/>
        <w:gridCol w:w="2475"/>
        <w:gridCol w:w="5160"/>
      </w:tblGrid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指标名称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指标口径说明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Prompt注入攻击成功率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成功绕过防护的注入攻击次数÷检测到的注入攻击总次数×100%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异常/对抗输入检出次数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被识别为异常、对抗样本或恶意构造输入的次数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输入毒性/敏感词命中率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命中毒性内容或敏感词的输入数÷输入总数×100%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幻觉检测率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质量抽检样本中检出幻觉（虚构事实）输出的比例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输出内容合规率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符合医疗内容合规要求的输出数÷抽检输出总数×100%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有害内容拦截次数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输出经安全护栏判定为有害并被拦截的次数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内容安全误拦率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被误拦截的正常内容数÷拦截总数×100%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医疗免责提示语覆盖率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附带医疗免责提示的输出数÷应附带免责提示的输出总数×100%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越权访问拒绝率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被拒绝的越权访问请求数÷检测到的越权访问请求总数×100%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PHI/PII泄露率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发生个人健康信息/个人身份信息泄露的输出数÷输出总数×100%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敏感数据外发拦截次数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含敏感数据的对外传输行为被拦截的次数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工具调用高危请求拒绝率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被拒绝的高危工具调用请求数÷检测到的高危请求总数×100%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工具越权调用次数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智能体调用未授权工具或超出授权范围调用工具的次数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附2：编制说明</w:t>
      </w:r>
      <w:bookmarkEnd w:id="3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本报告由智能体管理平台基于四维监控体系（业务、状态、成本、安全）实时与聚合数据一键生成，统计口径统一，统计周期与筛选范围（科室/时间）见封面。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各模块文字综述由智能助手自动生成初稿，信息科管理员可在平台编辑页在线调整后发布；指标阈值（如GPU使用率80%预警线、安全指标管理目标）可在平台监控策略中配置。</w:t>
      </w: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07291">
    <w:lvl>
      <w:start w:val="1"/>
      <w:numFmt w:val="decimal"/>
      <w:suff w:val="tab"/>
      <w:lvlText w:val="%1."/>
      <w:rPr>
        <w:color w:val="3370ff"/>
      </w:rPr>
    </w:lvl>
  </w:abstractNum>
  <w:abstractNum w:abstractNumId="60729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607291"/>
  </w:num>
  <w:num w:numId="2">
    <w:abstractNumId w:val="60729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numbering.xml" Type="http://schemas.openxmlformats.org/officeDocument/2006/relationships/numbering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2026-07-14T05:46:27Z</dcterms:created>
  <dc:creator>Apache POI</dc:creator>
</cp:coreProperties>
</file>