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科室智能体运行监控情况报告模板</w:t>
      </w:r>
    </w:p>
    <w:p>
      <w:pPr>
        <w:spacing w:before="120" w:after="120" w:line="288" w:lineRule="auto"/>
        <w:ind w:left="0" w:firstLine="0"/>
        <w:jc w:val="center"/>
      </w:pPr>
      <w:r>
        <w:rPr>
          <w:rFonts w:eastAsia="等线" w:ascii="Arial" w:cs="Arial" w:hAnsi="Arial"/>
          <w:b w:val="true"/>
          <w:sz w:val="22"/>
        </w:rPr>
        <w:t>××××医院  ××科</w:t>
      </w:r>
    </w:p>
    <w:p>
      <w:pPr>
        <w:spacing w:before="120" w:after="120" w:line="288" w:lineRule="auto"/>
        <w:ind w:left="0" w:firstLine="0"/>
        <w:jc w:val="center"/>
      </w:pPr>
      <w:r>
        <w:rPr>
          <w:rFonts w:eastAsia="等线" w:ascii="Arial" w:cs="Arial" w:hAnsi="Arial"/>
          <w:b w:val="true"/>
          <w:sz w:val="22"/>
        </w:rPr>
        <w:t>科室智能体运行监控情况报告</w:t>
      </w:r>
    </w:p>
    <w:p>
      <w:pPr>
        <w:spacing w:before="120" w:after="120" w:line="288" w:lineRule="auto"/>
        <w:ind w:left="0" w:firstLine="0"/>
        <w:jc w:val="center"/>
      </w:pPr>
      <w:r>
        <w:rPr>
          <w:rFonts w:eastAsia="等线" w:ascii="Arial" w:cs="Arial" w:hAnsi="Arial"/>
          <w:sz w:val="22"/>
        </w:rPr>
        <w:t>统计周期：2026年1月1日 — 2026年6月30日</w:t>
      </w:r>
    </w:p>
    <w:p>
      <w:pPr>
        <w:spacing w:before="120" w:after="120" w:line="288" w:lineRule="auto"/>
        <w:ind w:left="0" w:firstLine="0"/>
        <w:jc w:val="center"/>
      </w:pPr>
      <w:r>
        <w:rPr>
          <w:rFonts w:eastAsia="等线" w:ascii="Arial" w:cs="Arial" w:hAnsi="Arial"/>
          <w:sz w:val="22"/>
        </w:rPr>
        <w:t>统计范围：本科室全部纳管智能体（示例：放射科）</w:t>
      </w:r>
    </w:p>
    <w:p>
      <w:pPr>
        <w:spacing w:before="120" w:after="120" w:line="288" w:lineRule="auto"/>
        <w:ind w:left="0" w:firstLine="0"/>
        <w:jc w:val="center"/>
      </w:pPr>
      <w:r>
        <w:rPr>
          <w:rFonts w:eastAsia="等线" w:ascii="Arial" w:cs="Arial" w:hAnsi="Arial"/>
          <w:sz w:val="22"/>
        </w:rPr>
        <w:t>编制单位：××科（科室管理员）</w:t>
      </w:r>
    </w:p>
    <w:p>
      <w:pPr>
        <w:spacing w:before="120" w:after="120" w:line="288" w:lineRule="auto"/>
        <w:ind w:left="0" w:firstLine="0"/>
        <w:jc w:val="center"/>
      </w:pPr>
      <w:r>
        <w:rPr>
          <w:rFonts w:eastAsia="等线" w:ascii="Arial" w:cs="Arial" w:hAnsi="Arial"/>
          <w:sz w:val="22"/>
        </w:rPr>
        <w:t>编制日期：2026年7月</w:t>
      </w:r>
    </w:p>
    <w:p>
      <w:pPr>
        <w:spacing w:before="120" w:after="120" w:line="288" w:lineRule="auto"/>
        <w:ind w:left="0" w:firstLine="0"/>
        <w:jc w:val="center"/>
      </w:pPr>
      <w:r>
        <w:rPr>
          <w:rFonts w:eastAsia="等线" w:ascii="Arial" w:cs="Arial" w:hAnsi="Arial"/>
          <w:i w:val="true"/>
          <w:color w:val="8f959e"/>
          <w:sz w:val="22"/>
        </w:rPr>
        <w:t>模板说明：本报告由智能体管理平台按科室范围一键生成，供科室管理员使用；文中全部数据、图表与综述均为示例（以放射科为例），供模板设计参考。</w:t>
      </w: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b w:val="true"/>
          <w:sz w:val="22"/>
        </w:rPr>
        <w:t>目  录</w:t>
      </w:r>
    </w:p>
    <w:p>
      <w:pPr>
        <w:spacing w:before="120" w:after="120" w:line="288" w:lineRule="auto"/>
        <w:ind w:left="0" w:firstLine="0"/>
        <w:jc w:val="left"/>
      </w:pPr>
      <w:r>
        <w:rPr>
          <w:rFonts w:eastAsia="等线" w:ascii="Arial" w:cs="Arial" w:hAnsi="Arial"/>
          <w:i w:val="true"/>
          <w:color w:val="8f959e"/>
          <w:sz w:val="22"/>
        </w:rPr>
        <w:t>提示：在 Word 中右键点击目录区域，选择“更新域”自动生成/刷新目录。</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一、科室监控总体情况</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（一）总体监控概览</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8个</w:t>
            </w:r>
          </w:p>
          <w:p>
            <w:pPr>
              <w:spacing w:before="120" w:after="120" w:line="288" w:lineRule="auto"/>
              <w:ind w:left="0"/>
              <w:jc w:val="center"/>
            </w:pPr>
            <w:r>
              <w:rPr>
                <w:rFonts w:eastAsia="等线" w:ascii="Arial" w:cs="Arial" w:hAnsi="Arial"/>
                <w:sz w:val="22"/>
              </w:rPr>
              <w:t>科室纳管智能体</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28.6万</w:t>
            </w:r>
          </w:p>
          <w:p>
            <w:pPr>
              <w:spacing w:before="120" w:after="120" w:line="288" w:lineRule="auto"/>
              <w:ind w:left="0"/>
              <w:jc w:val="center"/>
            </w:pPr>
            <w:r>
              <w:rPr>
                <w:rFonts w:eastAsia="等线" w:ascii="Arial" w:cs="Arial" w:hAnsi="Arial"/>
                <w:sz w:val="22"/>
              </w:rPr>
              <w:t>累计调用次数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96.2%</w:t>
            </w:r>
          </w:p>
          <w:p>
            <w:pPr>
              <w:spacing w:before="120" w:after="120" w:line="288" w:lineRule="auto"/>
              <w:ind w:left="0"/>
              <w:jc w:val="center"/>
            </w:pPr>
            <w:r>
              <w:rPr>
                <w:rFonts w:eastAsia="等线" w:ascii="Arial" w:cs="Arial" w:hAnsi="Arial"/>
                <w:sz w:val="22"/>
              </w:rPr>
              <w:t>任务执行成功率</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87.5%</w:t>
            </w:r>
          </w:p>
          <w:p>
            <w:pPr>
              <w:spacing w:before="120" w:after="120" w:line="288" w:lineRule="auto"/>
              <w:ind w:left="0"/>
              <w:jc w:val="center"/>
            </w:pPr>
            <w:r>
              <w:rPr>
                <w:rFonts w:eastAsia="等线" w:ascii="Arial" w:cs="Arial" w:hAnsi="Arial"/>
                <w:sz w:val="22"/>
              </w:rPr>
              <w:t>智能体在线率</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8.2万元</w:t>
            </w:r>
          </w:p>
          <w:p>
            <w:pPr>
              <w:spacing w:before="120" w:after="120" w:line="288" w:lineRule="auto"/>
              <w:ind w:left="0"/>
              <w:jc w:val="center"/>
            </w:pPr>
            <w:r>
              <w:rPr>
                <w:rFonts w:eastAsia="等线" w:ascii="Arial" w:cs="Arial" w:hAnsi="Arial"/>
                <w:sz w:val="22"/>
              </w:rPr>
              <w:t>使用成本</w:t>
            </w:r>
          </w:p>
        </w:tc>
      </w:tr>
    </w:tbl>
    <w:p>
      <w:pPr>
        <w:spacing w:before="120" w:after="120" w:line="288" w:lineRule="auto"/>
        <w:ind w:left="0" w:firstLine="0"/>
        <w:jc w:val="left"/>
      </w:pPr>
      <w:r>
        <w:rPr>
          <w:rFonts w:eastAsia="等线" w:ascii="Arial" w:cs="Arial" w:hAnsi="Arial"/>
          <w:i w:val="true"/>
          <w:color w:val="8f959e"/>
          <w:sz w:val="22"/>
        </w:rPr>
        <w:t>口径：累计调用次数、任务执行成功率为统计周期内本科室智能体累计值；在线率＝科室实时在线智能体数量÷科室纳管智能体总数；使用成本为科室智能体所耗算力、许可、运维等成本分摊之和。</w:t>
      </w:r>
    </w:p>
    <w:p>
      <w:pPr>
        <w:spacing w:before="120" w:after="120" w:line="288" w:lineRule="auto"/>
        <w:ind w:left="0" w:firstLine="420"/>
        <w:jc w:val="left"/>
      </w:pPr>
      <w:r>
        <w:rPr>
          <w:rFonts w:eastAsia="等线" w:ascii="Arial" w:cs="Arial" w:hAnsi="Arial"/>
          <w:sz w:val="22"/>
        </w:rPr>
        <w:t>截至2026年6月30日，本科室纳管智能体8个，统计周期内累计调用28.6万次，任务执行成功率96.2%，实时在线率87.5%，使用成本合计8.2万元。科室智能体运行总体平稳，1个智能体当前处于异常状态，详见第三部分。</w:t>
      </w:r>
    </w:p>
    <w:p>
      <w:pPr>
        <w:pStyle w:val="2"/>
        <w:spacing w:before="320" w:after="120" w:line="288" w:lineRule="auto"/>
        <w:ind w:left="0"/>
        <w:jc w:val="left"/>
        <w:outlineLvl w:val="1"/>
      </w:pPr>
      <w:bookmarkStart w:name="heading_2" w:id="2"/>
      <w:r>
        <w:rPr>
          <w:rFonts w:eastAsia="等线" w:ascii="Arial" w:cs="Arial" w:hAnsi="Arial"/>
          <w:b w:val="true"/>
          <w:sz w:val="32"/>
        </w:rPr>
        <w:t>（二）监控告警维度分布</w:t>
      </w:r>
      <w:bookmarkEnd w:id="2"/>
    </w:p>
    <w:p>
      <w:pPr>
        <w:spacing w:before="120" w:after="120" w:line="288" w:lineRule="auto"/>
        <w:ind w:left="0"/>
        <w:jc w:val="center"/>
      </w:pPr>
      <w:r>
        <w:drawing>
          <wp:inline distT="0" distR="0" distB="0" distL="0">
            <wp:extent cx="5257800" cy="29622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622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图1-1 科室监控告警维度分布（次）</w:t>
      </w:r>
    </w:p>
    <w:p>
      <w:pPr>
        <w:spacing w:before="120" w:after="120" w:line="288" w:lineRule="auto"/>
        <w:ind w:left="0" w:firstLine="420"/>
        <w:jc w:val="left"/>
      </w:pPr>
      <w:r>
        <w:rPr>
          <w:rFonts w:eastAsia="等线" w:ascii="Arial" w:cs="Arial" w:hAnsi="Arial"/>
          <w:sz w:val="22"/>
        </w:rPr>
        <w:t>统计周期内本科室共产生监控告警14次，其中业务监控6次（43%）、状态监控4次（29%）、成本监控2次（14%）、安全监控2次（14%），主要集中于高峰时段响应超时与接口波动，全部告警均已处置或在途，详见第六部分。</w:t>
      </w:r>
    </w:p>
    <w:p>
      <w:pPr>
        <w:pStyle w:val="1"/>
        <w:spacing w:before="380" w:after="140" w:line="288" w:lineRule="auto"/>
        <w:ind w:left="0"/>
        <w:jc w:val="left"/>
        <w:outlineLvl w:val="0"/>
      </w:pPr>
      <w:bookmarkStart w:name="heading_3" w:id="3"/>
      <w:r>
        <w:rPr>
          <w:rFonts w:eastAsia="等线" w:ascii="Arial" w:cs="Arial" w:hAnsi="Arial"/>
          <w:b w:val="true"/>
          <w:sz w:val="36"/>
        </w:rPr>
        <w:t>二、业务监控情况</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（一）任务执行情况</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96.2%</w:t>
            </w:r>
          </w:p>
          <w:p>
            <w:pPr>
              <w:spacing w:before="120" w:after="120" w:line="288" w:lineRule="auto"/>
              <w:ind w:left="0"/>
              <w:jc w:val="center"/>
            </w:pPr>
            <w:r>
              <w:rPr>
                <w:rFonts w:eastAsia="等线" w:ascii="Arial" w:cs="Arial" w:hAnsi="Arial"/>
                <w:sz w:val="22"/>
              </w:rPr>
              <w:t>任务执行成功率</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2.4%</w:t>
            </w:r>
          </w:p>
          <w:p>
            <w:pPr>
              <w:spacing w:before="120" w:after="120" w:line="288" w:lineRule="auto"/>
              <w:ind w:left="0"/>
              <w:jc w:val="center"/>
            </w:pPr>
            <w:r>
              <w:rPr>
                <w:rFonts w:eastAsia="等线" w:ascii="Arial" w:cs="Arial" w:hAnsi="Arial"/>
                <w:sz w:val="22"/>
              </w:rPr>
              <w:t>任务中断率</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81.9%</w:t>
            </w:r>
          </w:p>
          <w:p>
            <w:pPr>
              <w:spacing w:before="120" w:after="120" w:line="288" w:lineRule="auto"/>
              <w:ind w:left="0"/>
              <w:jc w:val="center"/>
            </w:pPr>
            <w:r>
              <w:rPr>
                <w:rFonts w:eastAsia="等线" w:ascii="Arial" w:cs="Arial" w:hAnsi="Arial"/>
                <w:sz w:val="22"/>
              </w:rPr>
              <w:t>自助解决率</w:t>
            </w:r>
          </w:p>
        </w:tc>
      </w:tr>
    </w:tbl>
    <w:p>
      <w:pPr>
        <w:spacing w:before="120" w:after="120" w:line="288" w:lineRule="auto"/>
        <w:ind w:left="0"/>
        <w:jc w:val="center"/>
      </w:pPr>
      <w:r>
        <w:drawing>
          <wp:inline distT="0" distR="0" distB="0" distL="0">
            <wp:extent cx="5257800" cy="2114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114550"/>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图2-1 任务执行成功率与任务中断率月度趋势</w:t>
      </w:r>
    </w:p>
    <w:p>
      <w:pPr>
        <w:spacing w:before="120" w:after="120" w:line="288" w:lineRule="auto"/>
        <w:ind w:left="0" w:firstLine="420"/>
        <w:jc w:val="left"/>
      </w:pPr>
      <w:r>
        <w:rPr>
          <w:rFonts w:eastAsia="等线" w:ascii="Arial" w:cs="Arial" w:hAnsi="Arial"/>
          <w:sz w:val="22"/>
        </w:rPr>
        <w:t>统计周期内科室任务执行成功率由1月的94.1%提升至6月的96.2%，任务中断率由3.8%降至2.4%，自助解决率81.9%。中断任务主要集中于影像报告解读助手高峰时段的接口超时场景，与业务监控告警吻合。</w:t>
      </w:r>
    </w:p>
    <w:p>
      <w:pPr>
        <w:pStyle w:val="2"/>
        <w:spacing w:before="320" w:after="120" w:line="288" w:lineRule="auto"/>
        <w:ind w:left="0"/>
        <w:jc w:val="left"/>
        <w:outlineLvl w:val="1"/>
      </w:pPr>
      <w:bookmarkStart w:name="heading_5" w:id="5"/>
      <w:r>
        <w:rPr>
          <w:rFonts w:eastAsia="等线" w:ascii="Arial" w:cs="Arial" w:hAnsi="Arial"/>
          <w:b w:val="true"/>
          <w:sz w:val="32"/>
        </w:rPr>
        <w:t>（二）调用情况</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28.6万次</w:t>
            </w:r>
          </w:p>
          <w:p>
            <w:pPr>
              <w:spacing w:before="120" w:after="120" w:line="288" w:lineRule="auto"/>
              <w:ind w:left="0"/>
              <w:jc w:val="center"/>
            </w:pPr>
            <w:r>
              <w:rPr>
                <w:rFonts w:eastAsia="等线" w:ascii="Arial" w:cs="Arial" w:hAnsi="Arial"/>
                <w:sz w:val="22"/>
              </w:rPr>
              <w:t>累计调用次数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2560次</w:t>
            </w:r>
          </w:p>
          <w:p>
            <w:pPr>
              <w:spacing w:before="120" w:after="120" w:line="288" w:lineRule="auto"/>
              <w:ind w:left="0"/>
              <w:jc w:val="center"/>
            </w:pPr>
            <w:r>
              <w:rPr>
                <w:rFonts w:eastAsia="等线" w:ascii="Arial" w:cs="Arial" w:hAnsi="Arial"/>
                <w:sz w:val="22"/>
              </w:rPr>
              <w:t>当日调用次数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43%</w:t>
            </w:r>
          </w:p>
          <w:p>
            <w:pPr>
              <w:spacing w:before="120" w:after="120" w:line="288" w:lineRule="auto"/>
              <w:ind w:left="0"/>
              <w:jc w:val="center"/>
            </w:pPr>
            <w:r>
              <w:rPr>
                <w:rFonts w:eastAsia="等线" w:ascii="Arial" w:cs="Arial" w:hAnsi="Arial"/>
                <w:sz w:val="22"/>
              </w:rPr>
              <w:t>TOP1智能体调用占比</w:t>
            </w:r>
          </w:p>
        </w:tc>
      </w:tr>
    </w:tbl>
    <w:p>
      <w:pPr>
        <w:spacing w:before="120" w:after="120" w:line="288" w:lineRule="auto"/>
        <w:ind w:left="0"/>
        <w:jc w:val="center"/>
      </w:pPr>
      <w:r>
        <w:drawing>
          <wp:inline distT="0" distR="0" distB="0" distL="0">
            <wp:extent cx="5257800" cy="2257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25742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图2-2 科室调用次数月度趋势（万次；平台支持日/周/月粒度切换）</w:t>
      </w:r>
    </w:p>
    <w:p>
      <w:pPr>
        <w:spacing w:before="120" w:after="120" w:line="288" w:lineRule="auto"/>
        <w:ind w:left="0"/>
        <w:jc w:val="center"/>
      </w:pPr>
      <w:r>
        <w:drawing>
          <wp:inline distT="0" distR="0" distB="0" distL="0">
            <wp:extent cx="5257800" cy="2400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400300"/>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图2-3 科室各智能体日均调用次数排行（次/日）</w:t>
      </w:r>
    </w:p>
    <w:p>
      <w:pPr>
        <w:spacing w:before="120" w:after="120" w:line="288" w:lineRule="auto"/>
        <w:ind w:left="0" w:firstLine="420"/>
        <w:jc w:val="left"/>
      </w:pPr>
      <w:r>
        <w:rPr>
          <w:rFonts w:eastAsia="等线" w:ascii="Arial" w:cs="Arial" w:hAnsi="Arial"/>
          <w:sz w:val="22"/>
        </w:rPr>
        <w:t>科室月度调用量由1月的3.2万次增长至6月的6.6万次，累计增长106.3%；报告导出当日调用2560次。分智能体看，影像报告解读助手日均调用1120次、居科室首位，占科室调用总量的43%；影像质控助手（520次）、危急值提醒助手（360次）分列第二、三位。高频智能体的运行质量对科室业务影响显著，建议重点关注其性能与准确性指标。</w:t>
      </w:r>
    </w:p>
    <w:p>
      <w:pPr>
        <w:pStyle w:val="2"/>
        <w:spacing w:before="320" w:after="120" w:line="288" w:lineRule="auto"/>
        <w:ind w:left="0"/>
        <w:jc w:val="left"/>
        <w:outlineLvl w:val="1"/>
      </w:pPr>
      <w:bookmarkStart w:name="heading_6" w:id="6"/>
      <w:r>
        <w:rPr>
          <w:rFonts w:eastAsia="等线" w:ascii="Arial" w:cs="Arial" w:hAnsi="Arial"/>
          <w:b w:val="true"/>
          <w:sz w:val="32"/>
        </w:rPr>
        <w:t>（三）响应性能</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1.8秒</w:t>
            </w:r>
          </w:p>
          <w:p>
            <w:pPr>
              <w:spacing w:before="120" w:after="120" w:line="288" w:lineRule="auto"/>
              <w:ind w:left="0"/>
              <w:jc w:val="center"/>
            </w:pPr>
            <w:r>
              <w:rPr>
                <w:rFonts w:eastAsia="等线" w:ascii="Arial" w:cs="Arial" w:hAnsi="Arial"/>
                <w:sz w:val="22"/>
              </w:rPr>
              <w:t>平均响应时间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4.1秒</w:t>
            </w:r>
          </w:p>
          <w:p>
            <w:pPr>
              <w:spacing w:before="120" w:after="120" w:line="288" w:lineRule="auto"/>
              <w:ind w:left="0"/>
              <w:jc w:val="center"/>
            </w:pPr>
            <w:r>
              <w:rPr>
                <w:rFonts w:eastAsia="等线" w:ascii="Arial" w:cs="Arial" w:hAnsi="Arial"/>
                <w:sz w:val="22"/>
              </w:rPr>
              <w:t>响应时间P95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6.2秒</w:t>
            </w:r>
          </w:p>
          <w:p>
            <w:pPr>
              <w:spacing w:before="120" w:after="120" w:line="288" w:lineRule="auto"/>
              <w:ind w:left="0"/>
              <w:jc w:val="center"/>
            </w:pPr>
            <w:r>
              <w:rPr>
                <w:rFonts w:eastAsia="等线" w:ascii="Arial" w:cs="Arial" w:hAnsi="Arial"/>
                <w:sz w:val="22"/>
              </w:rPr>
              <w:t>响应时间P99</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1.1%</w:t>
            </w:r>
          </w:p>
          <w:p>
            <w:pPr>
              <w:spacing w:before="120" w:after="120" w:line="288" w:lineRule="auto"/>
              <w:ind w:left="0"/>
              <w:jc w:val="center"/>
            </w:pPr>
            <w:r>
              <w:rPr>
                <w:rFonts w:eastAsia="等线" w:ascii="Arial" w:cs="Arial" w:hAnsi="Arial"/>
                <w:sz w:val="22"/>
              </w:rPr>
              <w:t>响应超时率</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23</w:t>
            </w:r>
          </w:p>
          <w:p>
            <w:pPr>
              <w:spacing w:before="120" w:after="120" w:line="288" w:lineRule="auto"/>
              <w:ind w:left="0"/>
              <w:jc w:val="center"/>
            </w:pPr>
            <w:r>
              <w:rPr>
                <w:rFonts w:eastAsia="等线" w:ascii="Arial" w:cs="Arial" w:hAnsi="Arial"/>
                <w:sz w:val="22"/>
              </w:rPr>
              <w:t>并发数（峰值）</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11次/秒</w:t>
            </w:r>
          </w:p>
          <w:p>
            <w:pPr>
              <w:spacing w:before="120" w:after="120" w:line="288" w:lineRule="auto"/>
              <w:ind w:left="0"/>
              <w:jc w:val="center"/>
            </w:pPr>
            <w:r>
              <w:rPr>
                <w:rFonts w:eastAsia="等线" w:ascii="Arial" w:cs="Arial" w:hAnsi="Arial"/>
                <w:sz w:val="22"/>
              </w:rPr>
              <w:t>吞吐量（峰值）</w:t>
            </w:r>
          </w:p>
        </w:tc>
      </w:tr>
    </w:tbl>
    <w:p>
      <w:pPr>
        <w:spacing w:before="120" w:after="120" w:line="288" w:lineRule="auto"/>
        <w:ind w:left="0"/>
        <w:jc w:val="center"/>
      </w:pPr>
      <w:r>
        <w:drawing>
          <wp:inline distT="0" distR="0" distB="0" distL="0">
            <wp:extent cx="5257800" cy="2228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228850"/>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图2-4 响应时间P95/P99与平均值周度趋势（近12个周期，秒）</w:t>
      </w:r>
    </w:p>
    <w:p>
      <w:pPr>
        <w:spacing w:before="120" w:after="120" w:line="288" w:lineRule="auto"/>
        <w:ind w:left="0" w:firstLine="420"/>
        <w:jc w:val="left"/>
      </w:pPr>
      <w:r>
        <w:rPr>
          <w:rFonts w:eastAsia="等线" w:ascii="Arial" w:cs="Arial" w:hAnsi="Arial"/>
          <w:sz w:val="22"/>
        </w:rPr>
        <w:t>近12周科室智能体平均响应时间1.8—2.1秒，P95为4.1秒、P99为6.2秒，整体呈缓慢下降趋势；响应超时率1.1%，峰值并发23、峰值吞吐量11次/秒。P99长尾请求集中于影像报告解读助手的多序列复杂报告场景，已反馈信息科纳入优化。</w:t>
      </w:r>
    </w:p>
    <w:p>
      <w:pPr>
        <w:pStyle w:val="2"/>
        <w:spacing w:before="320" w:after="120" w:line="288" w:lineRule="auto"/>
        <w:ind w:left="0"/>
        <w:jc w:val="left"/>
        <w:outlineLvl w:val="1"/>
      </w:pPr>
      <w:bookmarkStart w:name="heading_7" w:id="7"/>
      <w:r>
        <w:rPr>
          <w:rFonts w:eastAsia="等线" w:ascii="Arial" w:cs="Arial" w:hAnsi="Arial"/>
          <w:b w:val="true"/>
          <w:sz w:val="32"/>
        </w:rPr>
        <w:t>（四）任务链路与工具调用质量</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4.2步</w:t>
            </w:r>
          </w:p>
          <w:p>
            <w:pPr>
              <w:spacing w:before="120" w:after="120" w:line="288" w:lineRule="auto"/>
              <w:ind w:left="0"/>
              <w:jc w:val="center"/>
            </w:pPr>
            <w:r>
              <w:rPr>
                <w:rFonts w:eastAsia="等线" w:ascii="Arial" w:cs="Arial" w:hAnsi="Arial"/>
                <w:sz w:val="22"/>
              </w:rPr>
              <w:t>单任务平均推理步数</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290毫秒</w:t>
            </w:r>
          </w:p>
          <w:p>
            <w:pPr>
              <w:spacing w:before="120" w:after="120" w:line="288" w:lineRule="auto"/>
              <w:ind w:left="0"/>
              <w:jc w:val="center"/>
            </w:pPr>
            <w:r>
              <w:rPr>
                <w:rFonts w:eastAsia="等线" w:ascii="Arial" w:cs="Arial" w:hAnsi="Arial"/>
                <w:sz w:val="22"/>
              </w:rPr>
              <w:t>平均工具调用时延</w:t>
            </w:r>
          </w:p>
        </w:tc>
      </w:tr>
    </w:tbl>
    <w:p>
      <w:pPr>
        <w:spacing w:before="120" w:after="120" w:line="288" w:lineRule="auto"/>
        <w:ind w:left="0"/>
        <w:jc w:val="center"/>
      </w:pPr>
      <w:r>
        <w:drawing>
          <wp:inline distT="0" distR="0" distB="0" distL="0">
            <wp:extent cx="5257800" cy="1914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91452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图2-5 工具链路质量指标（%）</w:t>
      </w:r>
    </w:p>
    <w:p>
      <w:pPr>
        <w:spacing w:before="120" w:after="120" w:line="288" w:lineRule="auto"/>
        <w:ind w:left="0" w:firstLine="420"/>
        <w:jc w:val="left"/>
      </w:pPr>
      <w:r>
        <w:rPr>
          <w:rFonts w:eastAsia="等线" w:ascii="Arial" w:cs="Arial" w:hAnsi="Arial"/>
          <w:sz w:val="22"/>
        </w:rPr>
        <w:t>科室智能体单任务平均推理步数4.2步，平均工具调用时延290毫秒；工具执行成功率97.6%、工具选择准确率95.1%、参数提取准确率93.4%、知识库命中率90.2%。知识库未命中问题多集中于少见征象与新版指南内容，建议科室配合信息科补充专科知识条目。</w:t>
      </w:r>
    </w:p>
    <w:p>
      <w:pPr>
        <w:pStyle w:val="2"/>
        <w:spacing w:before="320" w:after="120" w:line="288" w:lineRule="auto"/>
        <w:ind w:left="0"/>
        <w:jc w:val="left"/>
        <w:outlineLvl w:val="1"/>
      </w:pPr>
      <w:bookmarkStart w:name="heading_8" w:id="8"/>
      <w:r>
        <w:rPr>
          <w:rFonts w:eastAsia="等线" w:ascii="Arial" w:cs="Arial" w:hAnsi="Arial"/>
          <w:b w:val="true"/>
          <w:sz w:val="32"/>
        </w:rPr>
        <w:t>（五）医生采纳与用户满意度</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76.8%</w:t>
            </w:r>
          </w:p>
          <w:p>
            <w:pPr>
              <w:spacing w:before="120" w:after="120" w:line="288" w:lineRule="auto"/>
              <w:ind w:left="0"/>
              <w:jc w:val="center"/>
            </w:pPr>
            <w:r>
              <w:rPr>
                <w:rFonts w:eastAsia="等线" w:ascii="Arial" w:cs="Arial" w:hAnsi="Arial"/>
                <w:sz w:val="22"/>
              </w:rPr>
              <w:t>科室医生采纳率</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4.5分</w:t>
            </w:r>
          </w:p>
          <w:p>
            <w:pPr>
              <w:spacing w:before="120" w:after="120" w:line="288" w:lineRule="auto"/>
              <w:ind w:left="0"/>
              <w:jc w:val="center"/>
            </w:pPr>
            <w:r>
              <w:rPr>
                <w:rFonts w:eastAsia="等线" w:ascii="Arial" w:cs="Arial" w:hAnsi="Arial"/>
                <w:sz w:val="22"/>
              </w:rPr>
              <w:t>用户满意度（5分制）</w:t>
            </w:r>
          </w:p>
        </w:tc>
      </w:tr>
    </w:tbl>
    <w:p>
      <w:pPr>
        <w:spacing w:before="120" w:after="120" w:line="288" w:lineRule="auto"/>
        <w:ind w:left="0"/>
        <w:jc w:val="center"/>
      </w:pPr>
      <w:r>
        <w:drawing>
          <wp:inline distT="0" distR="0" distB="0" distL="0">
            <wp:extent cx="5257800" cy="23145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3145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图2-6 科室各智能体医生采纳率对比（%）</w:t>
      </w:r>
    </w:p>
    <w:p>
      <w:pPr>
        <w:spacing w:before="120" w:after="120" w:line="288" w:lineRule="auto"/>
        <w:ind w:left="0" w:firstLine="420"/>
        <w:jc w:val="left"/>
      </w:pPr>
      <w:r>
        <w:rPr>
          <w:rFonts w:eastAsia="等线" w:ascii="Arial" w:cs="Arial" w:hAnsi="Arial"/>
          <w:sz w:val="22"/>
        </w:rPr>
        <w:t>科室整体医生采纳率76.8%、用户满意度4.5分。分智能体看，影像报告解读助手（85.2%）、危急值提醒助手（82.4%）采纳率领先；剂量监测助手（68.5%）、影像知识问答助手（64.2%）、排班辅助助手（61.0%）低于70%关注线，建议科室管理员组织使用反馈评议，明确低采纳原因（输出质量、流程嵌入、使用习惯）并推动改进。</w:t>
      </w:r>
    </w:p>
    <w:p>
      <w:pPr>
        <w:pStyle w:val="1"/>
        <w:spacing w:before="380" w:after="140" w:line="288" w:lineRule="auto"/>
        <w:ind w:left="0"/>
        <w:jc w:val="left"/>
        <w:outlineLvl w:val="0"/>
      </w:pPr>
      <w:bookmarkStart w:name="heading_9" w:id="9"/>
      <w:r>
        <w:rPr>
          <w:rFonts w:eastAsia="等线" w:ascii="Arial" w:cs="Arial" w:hAnsi="Arial"/>
          <w:b w:val="true"/>
          <w:sz w:val="36"/>
        </w:rPr>
        <w:t>三、状态监控情况</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（一）实时运行状态</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7个</w:t>
            </w:r>
          </w:p>
          <w:p>
            <w:pPr>
              <w:spacing w:before="120" w:after="120" w:line="288" w:lineRule="auto"/>
              <w:ind w:left="0"/>
              <w:jc w:val="center"/>
            </w:pPr>
            <w:r>
              <w:rPr>
                <w:rFonts w:eastAsia="等线" w:ascii="Arial" w:cs="Arial" w:hAnsi="Arial"/>
                <w:sz w:val="22"/>
              </w:rPr>
              <w:t>实时在线</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87.5%</w:t>
            </w:r>
          </w:p>
          <w:p>
            <w:pPr>
              <w:spacing w:before="120" w:after="120" w:line="288" w:lineRule="auto"/>
              <w:ind w:left="0"/>
              <w:jc w:val="center"/>
            </w:pPr>
            <w:r>
              <w:rPr>
                <w:rFonts w:eastAsia="等线" w:ascii="Arial" w:cs="Arial" w:hAnsi="Arial"/>
                <w:sz w:val="22"/>
              </w:rPr>
              <w:t>在线率</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0个</w:t>
            </w:r>
          </w:p>
          <w:p>
            <w:pPr>
              <w:spacing w:before="120" w:after="120" w:line="288" w:lineRule="auto"/>
              <w:ind w:left="0"/>
              <w:jc w:val="center"/>
            </w:pPr>
            <w:r>
              <w:rPr>
                <w:rFonts w:eastAsia="等线" w:ascii="Arial" w:cs="Arial" w:hAnsi="Arial"/>
                <w:sz w:val="22"/>
              </w:rPr>
              <w:t>实时离线</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1个</w:t>
            </w:r>
          </w:p>
          <w:p>
            <w:pPr>
              <w:spacing w:before="120" w:after="120" w:line="288" w:lineRule="auto"/>
              <w:ind w:left="0"/>
              <w:jc w:val="center"/>
            </w:pPr>
            <w:r>
              <w:rPr>
                <w:rFonts w:eastAsia="等线" w:ascii="Arial" w:cs="Arial" w:hAnsi="Arial"/>
                <w:sz w:val="22"/>
              </w:rPr>
              <w:t>当前异常</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0个</w:t>
            </w:r>
          </w:p>
          <w:p>
            <w:pPr>
              <w:spacing w:before="120" w:after="120" w:line="288" w:lineRule="auto"/>
              <w:ind w:left="0"/>
              <w:jc w:val="center"/>
            </w:pPr>
            <w:r>
              <w:rPr>
                <w:rFonts w:eastAsia="等线" w:ascii="Arial" w:cs="Arial" w:hAnsi="Arial"/>
                <w:sz w:val="22"/>
              </w:rPr>
              <w:t>禁用</w:t>
            </w:r>
          </w:p>
        </w:tc>
      </w:tr>
    </w:tbl>
    <w:p>
      <w:pPr>
        <w:spacing w:before="120" w:after="120" w:line="288" w:lineRule="auto"/>
        <w:ind w:left="0"/>
        <w:jc w:val="center"/>
      </w:pPr>
      <w:r>
        <w:drawing>
          <wp:inline distT="0" distR="0" distB="0" distL="0">
            <wp:extent cx="5257800" cy="30956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309562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图3-1 科室智能体实时运行状态分布（个）</w:t>
      </w:r>
    </w:p>
    <w:p>
      <w:pPr>
        <w:spacing w:before="120" w:after="120" w:line="288" w:lineRule="auto"/>
        <w:ind w:left="0" w:firstLine="420"/>
        <w:jc w:val="left"/>
      </w:pPr>
      <w:r>
        <w:rPr>
          <w:rFonts w:eastAsia="等线" w:ascii="Arial" w:cs="Arial" w:hAnsi="Arial"/>
          <w:sz w:val="22"/>
        </w:rPr>
        <w:t>截至报告导出时，科室8个智能体中在线7个（87.5%）、异常1个（12.5%），无离线、禁用智能体。当前异常智能体为影像质控助手，因PACS接口网关超时导致质控任务响应失败，信息科正在实施接口扩容，预计××日恢复；异常期间质控业务已切换至人工抽检流程。</w:t>
      </w:r>
    </w:p>
    <w:p>
      <w:pPr>
        <w:pStyle w:val="2"/>
        <w:spacing w:before="320" w:after="120" w:line="288" w:lineRule="auto"/>
        <w:ind w:left="0"/>
        <w:jc w:val="left"/>
        <w:outlineLvl w:val="1"/>
      </w:pPr>
      <w:bookmarkStart w:name="heading_11" w:id="11"/>
      <w:r>
        <w:rPr>
          <w:rFonts w:eastAsia="等线" w:ascii="Arial" w:cs="Arial" w:hAnsi="Arial"/>
          <w:b w:val="true"/>
          <w:sz w:val="32"/>
        </w:rPr>
        <w:t>（二）智能体状态明细</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915"/>
        <w:gridCol w:w="1185"/>
        <w:gridCol w:w="1470"/>
        <w:gridCol w:w="1470"/>
        <w:gridCol w:w="1305"/>
      </w:tblGrid>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智能体名称</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当前状态</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本期异常次数</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本期累计离线时长</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当前异常持续时长</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处理情况</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影像报告解读助手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已恢复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影像质控助手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3.2小时</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处置中</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危急值提醒助手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检查预约助手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报告随访助手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0.8小时</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已恢复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剂量监测助手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影像知识问答助手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排班辅助助手</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在线</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i w:val="true"/>
          <w:color w:val="8f959e"/>
          <w:sz w:val="22"/>
        </w:rPr>
        <w:t>口径：本期异常次数为统计周期内该智能体发生运行异常的累计次数；异常持续时长自异常发生时点起算，恢复后清零。</w:t>
      </w:r>
    </w:p>
    <w:p>
      <w:pPr>
        <w:spacing w:before="120" w:after="120" w:line="288" w:lineRule="auto"/>
        <w:ind w:left="0" w:firstLine="420"/>
        <w:jc w:val="left"/>
      </w:pPr>
      <w:r>
        <w:rPr>
          <w:rFonts w:eastAsia="等线" w:ascii="Arial" w:cs="Arial" w:hAnsi="Arial"/>
          <w:sz w:val="22"/>
        </w:rPr>
        <w:t>统计周期内科室智能体累计发生异常4次、离线1次，平均异常持续时长35分钟，除影像质控助手在途事项外均已恢复。科室管理员可在平台按智能体查看状态变更记录与日/周/月新增异常、禁用趋势。</w:t>
      </w:r>
    </w:p>
    <w:p>
      <w:pPr>
        <w:pStyle w:val="1"/>
        <w:spacing w:before="380" w:after="140" w:line="288" w:lineRule="auto"/>
        <w:ind w:left="0"/>
        <w:jc w:val="left"/>
        <w:outlineLvl w:val="0"/>
      </w:pPr>
      <w:bookmarkStart w:name="heading_12" w:id="12"/>
      <w:r>
        <w:rPr>
          <w:rFonts w:eastAsia="等线" w:ascii="Arial" w:cs="Arial" w:hAnsi="Arial"/>
          <w:b w:val="true"/>
          <w:sz w:val="36"/>
        </w:rPr>
        <w:t>四、成本监控情况</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（一）单位成本情况</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0.29元</w:t>
            </w:r>
          </w:p>
          <w:p>
            <w:pPr>
              <w:spacing w:before="120" w:after="120" w:line="288" w:lineRule="auto"/>
              <w:ind w:left="0"/>
              <w:jc w:val="center"/>
            </w:pPr>
            <w:r>
              <w:rPr>
                <w:rFonts w:eastAsia="等线" w:ascii="Arial" w:cs="Arial" w:hAnsi="Arial"/>
                <w:sz w:val="22"/>
              </w:rPr>
              <w:t>单次会话平均成本</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0.38元</w:t>
            </w:r>
          </w:p>
          <w:p>
            <w:pPr>
              <w:spacing w:before="120" w:after="120" w:line="288" w:lineRule="auto"/>
              <w:ind w:left="0"/>
              <w:jc w:val="center"/>
            </w:pPr>
            <w:r>
              <w:rPr>
                <w:rFonts w:eastAsia="等线" w:ascii="Arial" w:cs="Arial" w:hAnsi="Arial"/>
                <w:sz w:val="22"/>
              </w:rPr>
              <w:t>单任务平均成本</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8.2万元</w:t>
            </w:r>
          </w:p>
          <w:p>
            <w:pPr>
              <w:spacing w:before="120" w:after="120" w:line="288" w:lineRule="auto"/>
              <w:ind w:left="0"/>
              <w:jc w:val="center"/>
            </w:pPr>
            <w:r>
              <w:rPr>
                <w:rFonts w:eastAsia="等线" w:ascii="Arial" w:cs="Arial" w:hAnsi="Arial"/>
                <w:sz w:val="22"/>
              </w:rPr>
              <w:t>使用成本合计</w:t>
            </w:r>
          </w:p>
        </w:tc>
      </w:tr>
    </w:tbl>
    <w:p>
      <w:pPr>
        <w:spacing w:before="120" w:after="120" w:line="288" w:lineRule="auto"/>
        <w:ind w:left="0" w:firstLine="420"/>
        <w:jc w:val="left"/>
      </w:pPr>
      <w:r>
        <w:rPr>
          <w:rFonts w:eastAsia="等线" w:ascii="Arial" w:cs="Arial" w:hAnsi="Arial"/>
          <w:sz w:val="22"/>
        </w:rPr>
        <w:t>统计周期内科室智能体单次会话平均成本0.29元、单任务平均成本0.38元，均低于全院平均水平；使用成本合计8.2万元，约占全院智能体总成本的21%，与科室调用量占比基本匹配。</w:t>
      </w:r>
    </w:p>
    <w:p>
      <w:pPr>
        <w:pStyle w:val="2"/>
        <w:spacing w:before="320" w:after="120" w:line="288" w:lineRule="auto"/>
        <w:ind w:left="0"/>
        <w:jc w:val="left"/>
        <w:outlineLvl w:val="1"/>
      </w:pPr>
      <w:bookmarkStart w:name="heading_14" w:id="14"/>
      <w:r>
        <w:rPr>
          <w:rFonts w:eastAsia="等线" w:ascii="Arial" w:cs="Arial" w:hAnsi="Arial"/>
          <w:b w:val="true"/>
          <w:sz w:val="32"/>
        </w:rPr>
        <w:t>（二）算力资源使用情况</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935"/>
        <w:gridCol w:w="1830"/>
        <w:gridCol w:w="1620"/>
        <w:gridCol w:w="1620"/>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资源类型</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累计使用量</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当日使用量</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累计使用率</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当日使用率</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CPU</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0.9万核·时</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61核·时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56.2%</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60.1%</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GPU</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0.5万卡·时</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36卡·时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70.4%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74.2%</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内存</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1.9万GB·时</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130GB·时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58.9%</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63.5%</w:t>
            </w:r>
          </w:p>
        </w:tc>
      </w:tr>
    </w:tbl>
    <w:p>
      <w:pPr>
        <w:spacing w:before="120" w:after="120" w:line="288" w:lineRule="auto"/>
        <w:ind w:left="0"/>
        <w:jc w:val="center"/>
      </w:pPr>
      <w:r>
        <w:drawing>
          <wp:inline distT="0" distR="0" distB="0" distL="0">
            <wp:extent cx="5257800" cy="19716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19716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图4-1 科室配额内CPU/GPU/内存使用率周度趋势（近12个周期）</w:t>
      </w:r>
    </w:p>
    <w:p>
      <w:pPr>
        <w:spacing w:before="120" w:after="120" w:line="288" w:lineRule="auto"/>
        <w:ind w:left="0" w:firstLine="0"/>
        <w:jc w:val="left"/>
      </w:pPr>
      <w:r>
        <w:rPr>
          <w:rFonts w:eastAsia="等线" w:ascii="Arial" w:cs="Arial" w:hAnsi="Arial"/>
          <w:i w:val="true"/>
          <w:color w:val="8f959e"/>
          <w:sz w:val="22"/>
        </w:rPr>
        <w:t>口径：使用率分母为分配给本科室智能体的资源配额；配额调整需向信息科申请。</w:t>
      </w:r>
    </w:p>
    <w:p>
      <w:pPr>
        <w:spacing w:before="120" w:after="120" w:line="288" w:lineRule="auto"/>
        <w:ind w:left="0" w:firstLine="420"/>
        <w:jc w:val="left"/>
      </w:pPr>
      <w:r>
        <w:rPr>
          <w:rFonts w:eastAsia="等线" w:ascii="Arial" w:cs="Arial" w:hAnsi="Arial"/>
          <w:sz w:val="22"/>
        </w:rPr>
        <w:t>科室GPU当日使用率74.2%，距80%预警阈值余量有限，主要由影像报告解读助手的推理负载驱动；CPU、内存使用率处于安全区间。按当前调用量增速，建议科室管理员提前向信息科提出GPU配额评估申请，避免高峰期任务排队。</w:t>
      </w:r>
    </w:p>
    <w:p>
      <w:pPr>
        <w:pStyle w:val="2"/>
        <w:spacing w:before="320" w:after="120" w:line="288" w:lineRule="auto"/>
        <w:ind w:left="0"/>
        <w:jc w:val="left"/>
        <w:outlineLvl w:val="1"/>
      </w:pPr>
      <w:bookmarkStart w:name="heading_15" w:id="15"/>
      <w:r>
        <w:rPr>
          <w:rFonts w:eastAsia="等线" w:ascii="Arial" w:cs="Arial" w:hAnsi="Arial"/>
          <w:b w:val="true"/>
          <w:sz w:val="32"/>
        </w:rPr>
        <w:t>（三）Token使用情况</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2.6亿</w:t>
            </w:r>
          </w:p>
          <w:p>
            <w:pPr>
              <w:spacing w:before="120" w:after="120" w:line="288" w:lineRule="auto"/>
              <w:ind w:left="0"/>
              <w:jc w:val="center"/>
            </w:pPr>
            <w:r>
              <w:rPr>
                <w:rFonts w:eastAsia="等线" w:ascii="Arial" w:cs="Arial" w:hAnsi="Arial"/>
                <w:sz w:val="22"/>
              </w:rPr>
              <w:t>Token累计使用量</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18万</w:t>
            </w:r>
          </w:p>
          <w:p>
            <w:pPr>
              <w:spacing w:before="120" w:after="120" w:line="288" w:lineRule="auto"/>
              <w:ind w:left="0"/>
              <w:jc w:val="center"/>
            </w:pPr>
            <w:r>
              <w:rPr>
                <w:rFonts w:eastAsia="等线" w:ascii="Arial" w:cs="Arial" w:hAnsi="Arial"/>
                <w:sz w:val="22"/>
              </w:rPr>
              <w:t>当日Token使用量</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1920</w:t>
            </w:r>
          </w:p>
          <w:p>
            <w:pPr>
              <w:spacing w:before="120" w:after="120" w:line="288" w:lineRule="auto"/>
              <w:ind w:left="0"/>
              <w:jc w:val="center"/>
            </w:pPr>
            <w:r>
              <w:rPr>
                <w:rFonts w:eastAsia="等线" w:ascii="Arial" w:cs="Arial" w:hAnsi="Arial"/>
                <w:sz w:val="22"/>
              </w:rPr>
              <w:t>单任务输入Token均值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650</w:t>
            </w:r>
          </w:p>
          <w:p>
            <w:pPr>
              <w:spacing w:before="120" w:after="120" w:line="288" w:lineRule="auto"/>
              <w:ind w:left="0"/>
              <w:jc w:val="center"/>
            </w:pPr>
            <w:r>
              <w:rPr>
                <w:rFonts w:eastAsia="等线" w:ascii="Arial" w:cs="Arial" w:hAnsi="Arial"/>
                <w:sz w:val="22"/>
              </w:rPr>
              <w:t>单任务输出Token均值</w:t>
            </w:r>
          </w:p>
        </w:tc>
      </w:tr>
    </w:tbl>
    <w:p>
      <w:pPr>
        <w:spacing w:before="120" w:after="120" w:line="288" w:lineRule="auto"/>
        <w:ind w:left="0"/>
        <w:jc w:val="center"/>
      </w:pPr>
      <w:r>
        <w:drawing>
          <wp:inline distT="0" distR="0" distB="0" distL="0">
            <wp:extent cx="5257800" cy="2209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2209800"/>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图4-2 科室Token使用量月度趋势（亿；含输入/输出拆分）</w:t>
      </w:r>
    </w:p>
    <w:p>
      <w:pPr>
        <w:spacing w:before="120" w:after="120" w:line="288" w:lineRule="auto"/>
        <w:ind w:left="0"/>
        <w:jc w:val="center"/>
      </w:pPr>
      <w:r>
        <w:drawing>
          <wp:inline distT="0" distR="0" distB="0" distL="0">
            <wp:extent cx="5257800" cy="2809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28098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图4-3 科室各智能体Token消耗占比（%）</w:t>
      </w:r>
    </w:p>
    <w:p>
      <w:pPr>
        <w:spacing w:before="120" w:after="120" w:line="288" w:lineRule="auto"/>
        <w:ind w:left="0" w:firstLine="420"/>
        <w:jc w:val="left"/>
      </w:pPr>
      <w:r>
        <w:rPr>
          <w:rFonts w:eastAsia="等线" w:ascii="Arial" w:cs="Arial" w:hAnsi="Arial"/>
          <w:sz w:val="22"/>
        </w:rPr>
        <w:t>统计周期内科室Token累计使用2.6亿，月度用量由0.29亿增至0.61亿；单任务输入Token均值1920、输出Token均值650。影像报告解读助手Token消耗占比52%，为科室Token成本的主要来源，其提示词与检索上下文压缩优化已列入信息科专项，预计可降低科室Token成本10%以上。</w:t>
      </w:r>
    </w:p>
    <w:p>
      <w:pPr>
        <w:pStyle w:val="1"/>
        <w:spacing w:before="380" w:after="140" w:line="288" w:lineRule="auto"/>
        <w:ind w:left="0"/>
        <w:jc w:val="left"/>
        <w:outlineLvl w:val="0"/>
      </w:pPr>
      <w:bookmarkStart w:name="heading_16" w:id="16"/>
      <w:r>
        <w:rPr>
          <w:rFonts w:eastAsia="等线" w:ascii="Arial" w:cs="Arial" w:hAnsi="Arial"/>
          <w:b w:val="true"/>
          <w:sz w:val="36"/>
        </w:rPr>
        <w:t>五、安全监控情况</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（一）安全事件总体情况</w:t>
      </w:r>
      <w:bookmarkEnd w:id="17"/>
    </w:p>
    <w:p>
      <w:pPr>
        <w:spacing w:before="120" w:after="120" w:line="288" w:lineRule="auto"/>
        <w:ind w:left="0"/>
        <w:jc w:val="center"/>
      </w:pPr>
      <w:r>
        <w:drawing>
          <wp:inline distT="0" distR="0" distB="0" distL="0">
            <wp:extent cx="5257800" cy="2000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2000250"/>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图5-1 科室安全事件检出/拦截次数分布（次）</w:t>
      </w:r>
    </w:p>
    <w:p>
      <w:pPr>
        <w:spacing w:before="120" w:after="120" w:line="288" w:lineRule="auto"/>
        <w:ind w:left="0" w:firstLine="420"/>
        <w:jc w:val="left"/>
      </w:pPr>
      <w:r>
        <w:rPr>
          <w:rFonts w:eastAsia="等线" w:ascii="Arial" w:cs="Arial" w:hAnsi="Arial"/>
          <w:sz w:val="22"/>
        </w:rPr>
        <w:t>统计周期内科室智能体累计检出/拦截安全事件32次，其中异常/对抗输入检出22次、有害内容拦截6次、敏感数据外发拦截3次、工具越权调用1次，全部事件均已自动阻断并留存审计日志。1次工具越权调用经复核为影像质控助手权限配置错误，已完成权限收敛，未造成数据泄露。</w:t>
      </w:r>
    </w:p>
    <w:p>
      <w:pPr>
        <w:pStyle w:val="2"/>
        <w:spacing w:before="320" w:after="120" w:line="288" w:lineRule="auto"/>
        <w:ind w:left="0"/>
        <w:jc w:val="left"/>
        <w:outlineLvl w:val="1"/>
      </w:pPr>
      <w:bookmarkStart w:name="heading_18" w:id="18"/>
      <w:r>
        <w:rPr>
          <w:rFonts w:eastAsia="等线" w:ascii="Arial" w:cs="Arial" w:hAnsi="Arial"/>
          <w:b w:val="true"/>
          <w:sz w:val="32"/>
        </w:rPr>
        <w:t>（二）安全关键指标达标情况</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2940"/>
        <w:gridCol w:w="1275"/>
        <w:gridCol w:w="1380"/>
        <w:gridCol w:w="1305"/>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安全维度</w:t>
            </w:r>
          </w:p>
        </w:tc>
        <w:tc>
          <w:tcPr>
            <w:tcW w:w="29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监控指标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本期值</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管理目标</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达标情况</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Prompt注入攻击成功率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输入毒性/敏感词命中率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幻觉检测率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输出内容合规率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99.7%</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≥99.5%</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内容安全误拦率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医疗免责提示语覆盖率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越权访问拒绝率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PHI/PII泄露率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工具安全</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工具调用高危请求拒绝率</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i w:val="true"/>
          <w:color w:val="8f959e"/>
          <w:sz w:val="22"/>
        </w:rPr>
        <w:t>口径：幻觉检测率为质量抽检样本中检出幻觉输出的比例；医疗免责提示语覆盖率＝附带免责提示的医疗建议输出数÷应附带免责提示的输出总数。</w:t>
      </w:r>
    </w:p>
    <w:p>
      <w:pPr>
        <w:spacing w:before="120" w:after="120" w:line="288" w:lineRule="auto"/>
        <w:ind w:left="0" w:firstLine="420"/>
        <w:jc w:val="left"/>
      </w:pPr>
      <w:r>
        <w:rPr>
          <w:rFonts w:eastAsia="等线" w:ascii="Arial" w:cs="Arial" w:hAnsi="Arial"/>
          <w:sz w:val="22"/>
        </w:rPr>
        <w:t>科室各项安全指标全部达标。其中幻觉检测样本主要来自影像报告解读助手的少见征象描述场景，科室已安排高年资医师对高度关注类智能体输出执行100%人工复核；请科室人员继续保持“先复核、后采用”的使用规范。</w:t>
      </w:r>
    </w:p>
    <w:p>
      <w:pPr>
        <w:pStyle w:val="1"/>
        <w:spacing w:before="380" w:after="140" w:line="288" w:lineRule="auto"/>
        <w:ind w:left="0"/>
        <w:jc w:val="left"/>
        <w:outlineLvl w:val="0"/>
      </w:pPr>
      <w:bookmarkStart w:name="heading_19" w:id="19"/>
      <w:r>
        <w:rPr>
          <w:rFonts w:eastAsia="等线" w:ascii="Arial" w:cs="Arial" w:hAnsi="Arial"/>
          <w:b w:val="true"/>
          <w:sz w:val="36"/>
        </w:rPr>
        <w:t>六、监控告警与处置情况</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（一）告警总体情况</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14次</w:t>
            </w:r>
          </w:p>
          <w:p>
            <w:pPr>
              <w:spacing w:before="120" w:after="120" w:line="288" w:lineRule="auto"/>
              <w:ind w:left="0"/>
              <w:jc w:val="center"/>
            </w:pPr>
            <w:r>
              <w:rPr>
                <w:rFonts w:eastAsia="等线" w:ascii="Arial" w:cs="Arial" w:hAnsi="Arial"/>
                <w:sz w:val="22"/>
              </w:rPr>
              <w:t>告警次数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1次</w:t>
            </w:r>
          </w:p>
          <w:p>
            <w:pPr>
              <w:spacing w:before="120" w:after="120" w:line="288" w:lineRule="auto"/>
              <w:ind w:left="0"/>
              <w:jc w:val="center"/>
            </w:pPr>
            <w:r>
              <w:rPr>
                <w:rFonts w:eastAsia="等线" w:ascii="Arial" w:cs="Arial" w:hAnsi="Arial"/>
                <w:sz w:val="22"/>
              </w:rPr>
              <w:t>故障次数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35分钟</w:t>
            </w:r>
          </w:p>
          <w:p>
            <w:pPr>
              <w:spacing w:before="120" w:after="120" w:line="288" w:lineRule="auto"/>
              <w:ind w:left="0"/>
              <w:jc w:val="center"/>
            </w:pPr>
            <w:r>
              <w:rPr>
                <w:rFonts w:eastAsia="等线" w:ascii="Arial" w:cs="Arial" w:hAnsi="Arial"/>
                <w:sz w:val="22"/>
              </w:rPr>
              <w:t>故障平均恢复时间</w:t>
            </w:r>
          </w:p>
        </w:tc>
      </w:tr>
    </w:tbl>
    <w:p>
      <w:pPr>
        <w:spacing w:before="120" w:after="120" w:line="288" w:lineRule="auto"/>
        <w:ind w:left="0"/>
        <w:jc w:val="center"/>
      </w:pPr>
      <w:r>
        <w:drawing>
          <wp:inline distT="0" distR="0" distB="0" distL="0">
            <wp:extent cx="5257800" cy="21907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2190750"/>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sz w:val="22"/>
        </w:rPr>
        <w:t>图6-1 科室告警次数周度趋势（近12个周期，次）</w:t>
      </w:r>
    </w:p>
    <w:p>
      <w:pPr>
        <w:spacing w:before="120" w:after="120" w:line="288" w:lineRule="auto"/>
        <w:ind w:left="0" w:firstLine="420"/>
        <w:jc w:val="left"/>
      </w:pPr>
      <w:r>
        <w:rPr>
          <w:rFonts w:eastAsia="等线" w:ascii="Arial" w:cs="Arial" w:hAnsi="Arial"/>
          <w:sz w:val="22"/>
        </w:rPr>
        <w:t>近12周科室累计产生告警14次，周均1.2次，整体平稳；统计周期内发生故障1次（影像质控助手PACS接口异常），恢复用时35分钟，在应急预案时限内完成处置。</w:t>
      </w:r>
    </w:p>
    <w:p>
      <w:pPr>
        <w:pStyle w:val="2"/>
        <w:spacing w:before="320" w:after="120" w:line="288" w:lineRule="auto"/>
        <w:ind w:left="0"/>
        <w:jc w:val="left"/>
        <w:outlineLvl w:val="1"/>
      </w:pPr>
      <w:bookmarkStart w:name="heading_21" w:id="21"/>
      <w:r>
        <w:rPr>
          <w:rFonts w:eastAsia="等线" w:ascii="Arial" w:cs="Arial" w:hAnsi="Arial"/>
          <w:b w:val="true"/>
          <w:sz w:val="32"/>
        </w:rPr>
        <w:t>（二）典型问题及处理方案</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5"/>
        <w:gridCol w:w="2655"/>
        <w:gridCol w:w="915"/>
        <w:gridCol w:w="2205"/>
        <w:gridCol w:w="1005"/>
        <w:gridCol w:w="855"/>
      </w:tblGrid>
      <w:tr>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典型问题</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影响范围</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处理方案</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处理进展</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责任方</w:t>
            </w:r>
          </w:p>
        </w:tc>
      </w:tr>
      <w:tr>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影像质控助手因PACS接口网关超时运行异常</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质控流程</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接口网关扩容、重连机制优化</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处置中</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信息科/供应商</w:t>
            </w:r>
          </w:p>
        </w:tc>
      </w:tr>
      <w:tr>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影像报告解读助手高峰期P99响应超时告警</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报告解读</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错峰调度、推理缓存优化</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信息科</w:t>
            </w:r>
          </w:p>
        </w:tc>
      </w:tr>
      <w:tr>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剂量监测助手Token用量突增触发成本预警</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剂量监测</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排查提示词循环调用并修复</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w:t>
            </w:r>
          </w:p>
        </w:tc>
      </w:tr>
    </w:tbl>
    <w:p>
      <w:pPr>
        <w:spacing w:before="120" w:after="120" w:line="288" w:lineRule="auto"/>
        <w:ind w:left="0" w:firstLine="0"/>
        <w:jc w:val="left"/>
      </w:pPr>
    </w:p>
    <w:p>
      <w:pPr>
        <w:pStyle w:val="1"/>
        <w:spacing w:before="380" w:after="140" w:line="288" w:lineRule="auto"/>
        <w:ind w:left="0"/>
        <w:jc w:val="left"/>
        <w:outlineLvl w:val="0"/>
      </w:pPr>
      <w:bookmarkStart w:name="heading_22" w:id="22"/>
      <w:r>
        <w:rPr>
          <w:rFonts w:eastAsia="等线" w:ascii="Arial" w:cs="Arial" w:hAnsi="Arial"/>
          <w:b w:val="true"/>
          <w:sz w:val="36"/>
        </w:rPr>
        <w:t>七、报告总结</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（一）存在的问题</w:t>
      </w:r>
      <w:bookmarkEnd w:id="23"/>
    </w:p>
    <w:p>
      <w:pPr>
        <w:spacing w:before="120" w:after="120" w:line="288" w:lineRule="auto"/>
        <w:ind w:left="0" w:firstLine="420"/>
        <w:jc w:val="left"/>
      </w:pPr>
      <w:r>
        <w:rPr>
          <w:rFonts w:eastAsia="等线" w:ascii="Arial" w:cs="Arial" w:hAnsi="Arial"/>
          <w:sz w:val="22"/>
        </w:rPr>
        <w:t>一是头部智能体依赖度高。影像报告解读助手占科室调用量的43%、Token消耗的52%，其高峰期长尾超时与异常将直接影响科室业务连续性。</w:t>
      </w:r>
    </w:p>
    <w:p>
      <w:pPr>
        <w:spacing w:before="120" w:after="120" w:line="288" w:lineRule="auto"/>
        <w:ind w:left="0" w:firstLine="420"/>
        <w:jc w:val="left"/>
      </w:pPr>
      <w:r>
        <w:rPr>
          <w:rFonts w:eastAsia="等线" w:ascii="Arial" w:cs="Arial" w:hAnsi="Arial"/>
          <w:sz w:val="22"/>
        </w:rPr>
        <w:t>二是部分智能体采纳率偏低。剂量监测、影像知识问答、排班辅助3个智能体医生采纳率低于70%关注线，使用价值尚未充分发挥。</w:t>
      </w:r>
    </w:p>
    <w:p>
      <w:pPr>
        <w:spacing w:before="120" w:after="120" w:line="288" w:lineRule="auto"/>
        <w:ind w:left="0" w:firstLine="420"/>
        <w:jc w:val="left"/>
      </w:pPr>
      <w:r>
        <w:rPr>
          <w:rFonts w:eastAsia="等线" w:ascii="Arial" w:cs="Arial" w:hAnsi="Arial"/>
          <w:sz w:val="22"/>
        </w:rPr>
        <w:t>三是GPU配额余量收窄。科室GPU当日使用率已达74.2%，距80%预警阈值余量有限，高峰期存在任务排队风险。</w:t>
      </w:r>
    </w:p>
    <w:p>
      <w:pPr>
        <w:spacing w:before="120" w:after="120" w:line="288" w:lineRule="auto"/>
        <w:ind w:left="0" w:firstLine="420"/>
        <w:jc w:val="left"/>
      </w:pPr>
      <w:r>
        <w:rPr>
          <w:rFonts w:eastAsia="等线" w:ascii="Arial" w:cs="Arial" w:hAnsi="Arial"/>
          <w:sz w:val="22"/>
        </w:rPr>
        <w:t>四是影像质控助手异常尚未闭环。PACS接口网关超时问题处置中，异常期间依赖人工抽检，质控覆盖面临时收窄。</w:t>
      </w:r>
    </w:p>
    <w:p>
      <w:pPr>
        <w:pStyle w:val="2"/>
        <w:spacing w:before="320" w:after="120" w:line="288" w:lineRule="auto"/>
        <w:ind w:left="0"/>
        <w:jc w:val="left"/>
        <w:outlineLvl w:val="1"/>
      </w:pPr>
      <w:bookmarkStart w:name="heading_24" w:id="24"/>
      <w:r>
        <w:rPr>
          <w:rFonts w:eastAsia="等线" w:ascii="Arial" w:cs="Arial" w:hAnsi="Arial"/>
          <w:b w:val="true"/>
          <w:sz w:val="32"/>
        </w:rPr>
        <w:t>（二）下一步工作建议</w:t>
      </w:r>
      <w:bookmarkEnd w:id="24"/>
    </w:p>
    <w:p>
      <w:pPr>
        <w:spacing w:before="120" w:after="120" w:line="288" w:lineRule="auto"/>
        <w:ind w:left="0" w:firstLine="420"/>
        <w:jc w:val="left"/>
      </w:pPr>
      <w:r>
        <w:rPr>
          <w:rFonts w:eastAsia="等线" w:ascii="Arial" w:cs="Arial" w:hAnsi="Arial"/>
          <w:sz w:val="22"/>
        </w:rPr>
        <w:t>一是配合信息科完成影像报告解读助手性能优化与影像质控助手接口治理，恢复后组织科内功能验证。</w:t>
      </w:r>
    </w:p>
    <w:p>
      <w:pPr>
        <w:spacing w:before="120" w:after="120" w:line="288" w:lineRule="auto"/>
        <w:ind w:left="0" w:firstLine="420"/>
        <w:jc w:val="left"/>
      </w:pPr>
      <w:r>
        <w:rPr>
          <w:rFonts w:eastAsia="等线" w:ascii="Arial" w:cs="Arial" w:hAnsi="Arial"/>
          <w:sz w:val="22"/>
        </w:rPr>
        <w:t>二是组织低采纳率智能体使用反馈评议，区分输出质量、流程嵌入、使用习惯等原因，形成改进清单并跟踪落实。</w:t>
      </w:r>
    </w:p>
    <w:p>
      <w:pPr>
        <w:spacing w:before="120" w:after="120" w:line="288" w:lineRule="auto"/>
        <w:ind w:left="0" w:firstLine="420"/>
        <w:jc w:val="left"/>
      </w:pPr>
      <w:r>
        <w:rPr>
          <w:rFonts w:eastAsia="等线" w:ascii="Arial" w:cs="Arial" w:hAnsi="Arial"/>
          <w:sz w:val="22"/>
        </w:rPr>
        <w:t>三是提交GPU配额评估申请，同时配合推进提示词压缩与推理缓存优化，控制科室Token与算力成本。</w:t>
      </w:r>
    </w:p>
    <w:p>
      <w:pPr>
        <w:spacing w:before="120" w:after="120" w:line="288" w:lineRule="auto"/>
        <w:ind w:left="0" w:firstLine="420"/>
        <w:jc w:val="left"/>
      </w:pPr>
      <w:r>
        <w:rPr>
          <w:rFonts w:eastAsia="等线" w:ascii="Arial" w:cs="Arial" w:hAnsi="Arial"/>
          <w:sz w:val="22"/>
        </w:rPr>
        <w:t>四是持续落实高度关注类智能体输出人工复核与人员培训，保持科室各项安全指标100%达标。</w:t>
      </w:r>
    </w:p>
    <w:p>
      <w:pPr>
        <w:spacing w:before="120" w:after="120" w:line="288" w:lineRule="auto"/>
        <w:ind w:left="0" w:firstLine="0"/>
        <w:jc w:val="right"/>
      </w:pPr>
      <w:r>
        <w:rPr>
          <w:rFonts w:eastAsia="等线" w:ascii="Arial" w:cs="Arial" w:hAnsi="Arial"/>
          <w:sz w:val="22"/>
        </w:rPr>
        <w:t>××××医院××科（科室管理员）</w:t>
      </w:r>
    </w:p>
    <w:p>
      <w:pPr>
        <w:spacing w:before="120" w:after="120" w:line="288" w:lineRule="auto"/>
        <w:ind w:left="0" w:firstLine="0"/>
        <w:jc w:val="right"/>
      </w:pPr>
      <w:r>
        <w:rPr>
          <w:rFonts w:eastAsia="等线" w:ascii="Arial" w:cs="Arial" w:hAnsi="Arial"/>
          <w:sz w:val="22"/>
        </w:rPr>
        <w:t>2026年7月×日</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 w:id="25"/>
      <w:r>
        <w:rPr>
          <w:rFonts w:eastAsia="等线" w:ascii="Arial" w:cs="Arial" w:hAnsi="Arial"/>
          <w:b w:val="true"/>
          <w:sz w:val="36"/>
        </w:rPr>
        <w:t>附：编制说明</w:t>
      </w:r>
      <w:bookmarkEnd w:id="25"/>
    </w:p>
    <w:p>
      <w:pPr>
        <w:numPr>
          <w:numId w:val="1"/>
        </w:numPr>
        <w:spacing w:before="120" w:after="120" w:line="288" w:lineRule="auto"/>
        <w:ind w:left="0"/>
        <w:jc w:val="left"/>
      </w:pPr>
      <w:r>
        <w:rPr>
          <w:rFonts w:eastAsia="等线" w:ascii="Arial" w:cs="Arial" w:hAnsi="Arial"/>
          <w:sz w:val="22"/>
        </w:rPr>
        <w:t>本报告由智能体管理平台按科室范围一键生成，面向科室管理员，数据范围为本科室全部纳管智能体，统计周期与筛选条件见封面；科室管理员可在平台按智能体、按时间下钻查看明细。</w:t>
      </w:r>
    </w:p>
    <w:p>
      <w:pPr>
        <w:numPr>
          <w:numId w:val="2"/>
        </w:numPr>
        <w:spacing w:before="120" w:after="120" w:line="288" w:lineRule="auto"/>
        <w:ind w:left="0"/>
        <w:jc w:val="left"/>
      </w:pPr>
      <w:r>
        <w:rPr>
          <w:rFonts w:eastAsia="等线" w:ascii="Arial" w:cs="Arial" w:hAnsi="Arial"/>
          <w:sz w:val="22"/>
        </w:rPr>
        <w:t>监控指标体系与口径同《全院智能体运行监控情况报告》附1（业务、状态、成本、安全四维共70项），亦可在平台指标字典中查询。</w:t>
      </w: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63123">
    <w:lvl>
      <w:start w:val="1"/>
      <w:numFmt w:val="decimal"/>
      <w:suff w:val="tab"/>
      <w:lvlText w:val="%1."/>
      <w:rPr>
        <w:color w:val="3370ff"/>
      </w:rPr>
    </w:lvl>
  </w:abstractNum>
  <w:abstractNum w:abstractNumId="963124">
    <w:lvl>
      <w:start w:val="2"/>
      <w:numFmt w:val="decimal"/>
      <w:suff w:val="tab"/>
      <w:lvlText w:val="%1."/>
      <w:rPr>
        <w:color w:val="3370ff"/>
      </w:rPr>
    </w:lvl>
  </w:abstractNum>
  <w:num w:numId="1">
    <w:abstractNumId w:val="963123"/>
  </w:num>
  <w:num w:numId="2">
    <w:abstractNumId w:val="96312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numbering.xml" Type="http://schemas.openxmlformats.org/officeDocument/2006/relationships/numbering"/><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2026-07-14T05:46:03Z</dcterms:created>
  <dc:creator>Apache POI</dc:creator>
</cp:coreProperties>
</file>