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F6EC4">
      <w:pPr>
        <w:rPr>
          <w:rFonts w:hint="default" w:ascii="Times New Roman" w:hAnsi="Times New Roman" w:eastAsia="微软雅黑" w:cs="Times New Roman"/>
        </w:rPr>
      </w:pPr>
    </w:p>
    <w:p w14:paraId="3B759787">
      <w:pPr>
        <w:rPr>
          <w:rFonts w:hint="default" w:ascii="Times New Roman" w:hAnsi="Times New Roman" w:eastAsia="微软雅黑" w:cs="Times New Roman"/>
        </w:rPr>
      </w:pPr>
    </w:p>
    <w:p w14:paraId="49CB18E9">
      <w:pPr>
        <w:rPr>
          <w:rFonts w:hint="default" w:ascii="Times New Roman" w:hAnsi="Times New Roman" w:eastAsia="微软雅黑" w:cs="Times New Roman"/>
        </w:rPr>
      </w:pPr>
    </w:p>
    <w:p w14:paraId="3706A2F6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sz w:val="40"/>
        </w:rPr>
        <w:t>××××医院</w:t>
      </w:r>
    </w:p>
    <w:p w14:paraId="7B2613C3">
      <w:pPr>
        <w:rPr>
          <w:rFonts w:hint="default" w:ascii="Times New Roman" w:hAnsi="Times New Roman" w:eastAsia="微软雅黑" w:cs="Times New Roman"/>
        </w:rPr>
      </w:pPr>
    </w:p>
    <w:p w14:paraId="2DC765C7">
      <w:pPr>
        <w:rPr>
          <w:rFonts w:hint="default" w:ascii="Times New Roman" w:hAnsi="Times New Roman" w:eastAsia="微软雅黑" w:cs="Times New Roman"/>
        </w:rPr>
      </w:pPr>
    </w:p>
    <w:p w14:paraId="4282FED0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sz w:val="60"/>
        </w:rPr>
        <w:t>全院智能体运行管理情况报告</w:t>
      </w:r>
    </w:p>
    <w:p w14:paraId="6DE5DD88">
      <w:pPr>
        <w:jc w:val="center"/>
        <w:rPr>
          <w:rFonts w:hint="default" w:ascii="Times New Roman" w:hAnsi="Times New Roman" w:eastAsia="微软雅黑" w:cs="Times New Roman"/>
        </w:rPr>
      </w:pPr>
    </w:p>
    <w:p w14:paraId="3395E4C0">
      <w:pPr>
        <w:rPr>
          <w:rFonts w:hint="default" w:ascii="Times New Roman" w:hAnsi="Times New Roman" w:eastAsia="微软雅黑" w:cs="Times New Roman"/>
        </w:rPr>
      </w:pPr>
    </w:p>
    <w:p w14:paraId="7F259AD1">
      <w:pPr>
        <w:rPr>
          <w:rFonts w:hint="default" w:ascii="Times New Roman" w:hAnsi="Times New Roman" w:eastAsia="微软雅黑" w:cs="Times New Roman"/>
        </w:rPr>
      </w:pPr>
    </w:p>
    <w:p w14:paraId="41F0BB69">
      <w:pPr>
        <w:rPr>
          <w:rFonts w:hint="default" w:ascii="Times New Roman" w:hAnsi="Times New Roman" w:eastAsia="微软雅黑" w:cs="Times New Roman"/>
        </w:rPr>
      </w:pPr>
    </w:p>
    <w:p w14:paraId="13B101F4">
      <w:pPr>
        <w:rPr>
          <w:rFonts w:hint="default" w:ascii="Times New Roman" w:hAnsi="Times New Roman" w:eastAsia="微软雅黑" w:cs="Times New Roman"/>
        </w:rPr>
      </w:pPr>
    </w:p>
    <w:p w14:paraId="5214729F">
      <w:pPr>
        <w:rPr>
          <w:rFonts w:hint="default" w:ascii="Times New Roman" w:hAnsi="Times New Roman" w:eastAsia="微软雅黑" w:cs="Times New Roman"/>
        </w:rPr>
      </w:pPr>
    </w:p>
    <w:p w14:paraId="644E400F">
      <w:pPr>
        <w:rPr>
          <w:rFonts w:hint="default" w:ascii="Times New Roman" w:hAnsi="Times New Roman" w:eastAsia="微软雅黑" w:cs="Times New Roman"/>
        </w:rPr>
      </w:pPr>
    </w:p>
    <w:p w14:paraId="680A1740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6"/>
        </w:rPr>
        <w:t>统计周期：2026年1月1日 — 2026年6月30日</w:t>
      </w:r>
    </w:p>
    <w:p w14:paraId="736A133E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6"/>
        </w:rPr>
        <w:t>统计范围：全院（含分院区）</w:t>
      </w:r>
    </w:p>
    <w:p w14:paraId="5FBF6E56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6"/>
        </w:rPr>
        <w:t>编制单位：信息</w:t>
      </w:r>
      <w:r>
        <w:rPr>
          <w:rFonts w:hint="default" w:ascii="Times New Roman" w:hAnsi="Times New Roman" w:eastAsia="微软雅黑" w:cs="Times New Roman"/>
          <w:b w:val="0"/>
          <w:i w:val="0"/>
          <w:sz w:val="26"/>
          <w:lang w:val="en-US" w:eastAsia="zh-CN"/>
        </w:rPr>
        <w:t>科</w:t>
      </w:r>
    </w:p>
    <w:p w14:paraId="2E88C6C8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6"/>
        </w:rPr>
        <w:t>编制日期：2026年7月</w:t>
      </w:r>
    </w:p>
    <w:p w14:paraId="66023FD0">
      <w:pPr>
        <w:rPr>
          <w:rFonts w:hint="default" w:ascii="Times New Roman" w:hAnsi="Times New Roman" w:eastAsia="微软雅黑" w:cs="Times New Roman"/>
        </w:rPr>
      </w:pPr>
    </w:p>
    <w:p w14:paraId="460882DD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/>
          <w:color w:val="595959"/>
          <w:sz w:val="18"/>
        </w:rPr>
        <w:t>模板说明：本报告由智能体管理平台基于台账聚合数据一键生成；文中全部数据、图表与综述均为示例，供模板设计参考。</w:t>
      </w:r>
    </w:p>
    <w:p w14:paraId="28F80617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br w:type="page"/>
      </w:r>
    </w:p>
    <w:p w14:paraId="42B8FBF9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sz w:val="32"/>
        </w:rPr>
        <w:t>目  录</w:t>
      </w:r>
    </w:p>
    <w:p w14:paraId="705502EE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fldChar w:fldCharType="begin"/>
      </w:r>
      <w:r>
        <w:rPr>
          <w:rFonts w:hint="default" w:ascii="Times New Roman" w:hAnsi="Times New Roman" w:eastAsia="微软雅黑" w:cs="Times New Roman"/>
        </w:rPr>
        <w:instrText xml:space="preserve"> TOC \o "1-2" \h \z \u </w:instrText>
      </w:r>
      <w:r>
        <w:rPr>
          <w:rFonts w:hint="default" w:ascii="Times New Roman" w:hAnsi="Times New Roman" w:eastAsia="微软雅黑" w:cs="Times New Roman"/>
        </w:rPr>
        <w:fldChar w:fldCharType="end"/>
      </w:r>
    </w:p>
    <w:p w14:paraId="1EA5C45A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/>
          <w:color w:val="595959"/>
          <w:sz w:val="18"/>
        </w:rPr>
        <w:t>提示：在 Word 中右键点击此处，选择“更新域”自动生成目录。</w:t>
      </w:r>
    </w:p>
    <w:p w14:paraId="4728E5D8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br w:type="page"/>
      </w:r>
    </w:p>
    <w:p w14:paraId="4C65996A">
      <w:pPr>
        <w:pStyle w:val="3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一、全院智能体总体建设情况</w:t>
      </w:r>
    </w:p>
    <w:p w14:paraId="34DED45A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（一）总体规模与关键指标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50"/>
        <w:gridCol w:w="1329"/>
        <w:gridCol w:w="1493"/>
        <w:gridCol w:w="1493"/>
      </w:tblGrid>
      <w:tr w14:paraId="67975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D9E5F1"/>
            <w:vAlign w:val="center"/>
          </w:tcPr>
          <w:p w14:paraId="4D463D52">
            <w:pPr>
              <w:jc w:val="center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1F4E79"/>
                <w:sz w:val="30"/>
              </w:rPr>
              <w:t>42</w:t>
            </w:r>
            <w:r>
              <w:rPr>
                <w:rFonts w:hint="default" w:ascii="Times New Roman" w:hAnsi="Times New Roman" w:eastAsia="微软雅黑" w:cs="Times New Roman"/>
                <w:b/>
                <w:i w:val="0"/>
                <w:color w:val="1F4E79"/>
                <w:sz w:val="30"/>
                <w:lang w:val="en-US" w:eastAsia="zh-CN"/>
              </w:rPr>
              <w:t>个</w:t>
            </w:r>
          </w:p>
        </w:tc>
        <w:tc>
          <w:tcPr>
            <w:tcW w:w="1350" w:type="dxa"/>
            <w:shd w:val="clear" w:color="auto" w:fill="D9E5F1"/>
            <w:vAlign w:val="center"/>
          </w:tcPr>
          <w:p w14:paraId="5CBC7080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1F4E79"/>
                <w:sz w:val="30"/>
              </w:rPr>
              <w:t>126.8万</w:t>
            </w:r>
          </w:p>
        </w:tc>
        <w:tc>
          <w:tcPr>
            <w:tcW w:w="1329" w:type="dxa"/>
            <w:shd w:val="clear" w:color="auto" w:fill="D9E5F1"/>
            <w:vAlign w:val="center"/>
          </w:tcPr>
          <w:p w14:paraId="5AEB0933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1F4E79"/>
                <w:sz w:val="30"/>
              </w:rPr>
              <w:t>68.4%</w:t>
            </w:r>
          </w:p>
        </w:tc>
        <w:tc>
          <w:tcPr>
            <w:tcW w:w="1493" w:type="dxa"/>
            <w:shd w:val="clear" w:color="auto" w:fill="D9E5F1"/>
            <w:vAlign w:val="center"/>
          </w:tcPr>
          <w:p w14:paraId="5283EBFB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1F4E79"/>
                <w:sz w:val="30"/>
              </w:rPr>
              <w:t>95.2%</w:t>
            </w:r>
          </w:p>
        </w:tc>
        <w:tc>
          <w:tcPr>
            <w:tcW w:w="1493" w:type="dxa"/>
            <w:shd w:val="clear" w:color="auto" w:fill="D9E5F1"/>
            <w:vAlign w:val="center"/>
          </w:tcPr>
          <w:p w14:paraId="2D28FA60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1F4E79"/>
                <w:sz w:val="30"/>
              </w:rPr>
              <w:t>38.6万元</w:t>
            </w:r>
          </w:p>
        </w:tc>
      </w:tr>
      <w:tr w14:paraId="68AB1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E113CDC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17"/>
              </w:rPr>
              <w:t>纳管智能体总数</w:t>
            </w:r>
          </w:p>
        </w:tc>
        <w:tc>
          <w:tcPr>
            <w:tcW w:w="1350" w:type="dxa"/>
            <w:vAlign w:val="center"/>
          </w:tcPr>
          <w:p w14:paraId="6CA38534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17"/>
              </w:rPr>
              <w:t>总调用量</w:t>
            </w:r>
          </w:p>
        </w:tc>
        <w:tc>
          <w:tcPr>
            <w:tcW w:w="1329" w:type="dxa"/>
            <w:vAlign w:val="center"/>
          </w:tcPr>
          <w:p w14:paraId="7DB41B52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17"/>
              </w:rPr>
              <w:t>科室覆盖率</w:t>
            </w:r>
          </w:p>
        </w:tc>
        <w:tc>
          <w:tcPr>
            <w:tcW w:w="1493" w:type="dxa"/>
            <w:vAlign w:val="center"/>
          </w:tcPr>
          <w:p w14:paraId="0324B14E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17"/>
              </w:rPr>
              <w:t>正常运行率</w:t>
            </w:r>
          </w:p>
        </w:tc>
        <w:tc>
          <w:tcPr>
            <w:tcW w:w="1493" w:type="dxa"/>
            <w:vAlign w:val="center"/>
          </w:tcPr>
          <w:p w14:paraId="5D39699F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17"/>
              </w:rPr>
              <w:t>使用成本</w:t>
            </w:r>
          </w:p>
        </w:tc>
      </w:tr>
    </w:tbl>
    <w:p w14:paraId="4A8DC686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/>
          <w:color w:val="595959"/>
          <w:sz w:val="18"/>
        </w:rPr>
        <w:t>口径：使用成本为统计周期内智能体所耗费的算力、许可、运维等各类成本之和；正常运行率＝状态非异常、禁用的智能体数量÷总数。</w:t>
      </w:r>
    </w:p>
    <w:p w14:paraId="0991F850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截至2026年6月30日，全院累计纳管智能体42个，覆盖54个科室，科室覆盖率68.4%；统计周期内总调用量126.8万次，正常运行率95.2%，使用成本合计38.6万元。全院智能体应用规模持续扩大，运行总体平稳。</w:t>
      </w:r>
    </w:p>
    <w:p w14:paraId="197BF60E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</w:t>
      </w:r>
      <w:r>
        <w:rPr>
          <w:rFonts w:hint="default" w:ascii="Times New Roman" w:hAnsi="Times New Roman" w:eastAsia="微软雅黑" w:cs="Times New Roman"/>
          <w:lang w:val="en-US" w:eastAsia="zh-CN"/>
        </w:rPr>
        <w:t>二</w:t>
      </w:r>
      <w:r>
        <w:rPr>
          <w:rFonts w:hint="default" w:ascii="Times New Roman" w:hAnsi="Times New Roman" w:eastAsia="微软雅黑" w:cs="Times New Roman"/>
        </w:rPr>
        <w:t>）调用量趋势</w:t>
      </w:r>
    </w:p>
    <w:p w14:paraId="432AB943">
      <w:pPr>
        <w:spacing w:after="4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drawing>
          <wp:inline distT="0" distB="0" distL="114300" distR="114300">
            <wp:extent cx="5111750" cy="2013585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01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E50C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sz w:val="18"/>
        </w:rPr>
        <w:t>图</w:t>
      </w:r>
      <w:r>
        <w:rPr>
          <w:rFonts w:hint="eastAsia" w:eastAsia="微软雅黑" w:cs="Times New Roman"/>
          <w:b/>
          <w:i w:val="0"/>
          <w:sz w:val="18"/>
          <w:lang w:val="en-US" w:eastAsia="zh-CN"/>
        </w:rPr>
        <w:t>1</w:t>
      </w:r>
      <w:r>
        <w:rPr>
          <w:rFonts w:hint="default" w:ascii="Times New Roman" w:hAnsi="Times New Roman" w:eastAsia="微软雅黑" w:cs="Times New Roman"/>
          <w:b/>
          <w:i w:val="0"/>
          <w:sz w:val="18"/>
        </w:rPr>
        <w:t>-</w:t>
      </w:r>
      <w:r>
        <w:rPr>
          <w:rFonts w:hint="eastAsia" w:eastAsia="微软雅黑" w:cs="Times New Roman"/>
          <w:b/>
          <w:i w:val="0"/>
          <w:sz w:val="18"/>
          <w:lang w:val="en-US" w:eastAsia="zh-CN"/>
        </w:rPr>
        <w:t>1</w:t>
      </w:r>
      <w:r>
        <w:rPr>
          <w:rFonts w:hint="default" w:ascii="Times New Roman" w:hAnsi="Times New Roman" w:eastAsia="微软雅黑" w:cs="Times New Roman"/>
          <w:b/>
          <w:i w:val="0"/>
          <w:sz w:val="18"/>
        </w:rPr>
        <w:t xml:space="preserve"> 全院智能体月度调用量趋势（万次）</w:t>
      </w:r>
    </w:p>
    <w:p w14:paraId="7BEDA92C">
      <w:pPr>
        <w:ind w:firstLine="480"/>
        <w:rPr>
          <w:rFonts w:hint="default" w:ascii="Times New Roman" w:hAnsi="Times New Roman" w:eastAsia="微软雅黑" w:cs="Times New Roman"/>
          <w:b w:val="0"/>
          <w:i w:val="0"/>
          <w:sz w:val="24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统计周期内月度调用量由1月的14.2万次增长至6月的28.8万次，累计增长102.8%，月均环比增长15.2%，反映智能体应用已逐步融入日常诊疗与管理流程。</w:t>
      </w:r>
    </w:p>
    <w:p w14:paraId="4C96C4BC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</w:t>
      </w:r>
      <w:r>
        <w:rPr>
          <w:rFonts w:hint="default" w:ascii="Times New Roman" w:hAnsi="Times New Roman" w:eastAsia="微软雅黑" w:cs="Times New Roman"/>
          <w:lang w:val="en-US" w:eastAsia="zh-CN"/>
        </w:rPr>
        <w:t>三</w:t>
      </w:r>
      <w:r>
        <w:rPr>
          <w:rFonts w:hint="default" w:ascii="Times New Roman" w:hAnsi="Times New Roman" w:eastAsia="微软雅黑" w:cs="Times New Roman"/>
        </w:rPr>
        <w:t>）</w:t>
      </w:r>
      <w:r>
        <w:rPr>
          <w:rFonts w:hint="default" w:ascii="Times New Roman" w:hAnsi="Times New Roman" w:eastAsia="微软雅黑" w:cs="Times New Roman"/>
          <w:lang w:val="en-US" w:eastAsia="zh-CN"/>
        </w:rPr>
        <w:t>纳管智能体数量</w:t>
      </w:r>
      <w:r>
        <w:rPr>
          <w:rFonts w:hint="default" w:ascii="Times New Roman" w:hAnsi="Times New Roman" w:eastAsia="微软雅黑" w:cs="Times New Roman"/>
        </w:rPr>
        <w:t>趋势</w:t>
      </w:r>
    </w:p>
    <w:p w14:paraId="6E8933DE">
      <w:pPr>
        <w:spacing w:after="4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drawing>
          <wp:inline distT="0" distB="0" distL="114300" distR="114300">
            <wp:extent cx="5111750" cy="1936115"/>
            <wp:effectExtent l="0" t="0" r="317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93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FDD4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sz w:val="18"/>
        </w:rPr>
        <w:t>图</w:t>
      </w:r>
      <w:r>
        <w:rPr>
          <w:rFonts w:hint="eastAsia" w:eastAsia="微软雅黑" w:cs="Times New Roman"/>
          <w:b/>
          <w:i w:val="0"/>
          <w:sz w:val="18"/>
          <w:lang w:val="en-US" w:eastAsia="zh-CN"/>
        </w:rPr>
        <w:t>1</w:t>
      </w:r>
      <w:r>
        <w:rPr>
          <w:rFonts w:hint="default" w:ascii="Times New Roman" w:hAnsi="Times New Roman" w:eastAsia="微软雅黑" w:cs="Times New Roman"/>
          <w:b/>
          <w:i w:val="0"/>
          <w:sz w:val="18"/>
        </w:rPr>
        <w:t>-</w:t>
      </w:r>
      <w:r>
        <w:rPr>
          <w:rFonts w:hint="eastAsia" w:eastAsia="微软雅黑" w:cs="Times New Roman"/>
          <w:b/>
          <w:i w:val="0"/>
          <w:sz w:val="18"/>
          <w:lang w:val="en-US" w:eastAsia="zh-CN"/>
        </w:rPr>
        <w:t>2</w:t>
      </w:r>
      <w:r>
        <w:rPr>
          <w:rFonts w:hint="default" w:ascii="Times New Roman" w:hAnsi="Times New Roman" w:eastAsia="微软雅黑" w:cs="Times New Roman"/>
          <w:b/>
          <w:i w:val="0"/>
          <w:sz w:val="18"/>
        </w:rPr>
        <w:t xml:space="preserve"> 每月新增纳管智能体数量（个）</w:t>
      </w:r>
    </w:p>
    <w:p w14:paraId="01783BFC">
      <w:pPr>
        <w:ind w:firstLine="480"/>
        <w:rPr>
          <w:rFonts w:hint="default" w:ascii="Times New Roman" w:hAnsi="Times New Roman" w:eastAsia="微软雅黑" w:cs="Times New Roman"/>
          <w:b w:val="0"/>
          <w:i w:val="0"/>
          <w:sz w:val="24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上半年累计新增纳管智能体35个，其中4月、6月为接入高峰，分别新增8个、9个，主要来自影像、检验等医技科室的批量接入。</w:t>
      </w:r>
    </w:p>
    <w:p w14:paraId="208195BF">
      <w:pPr>
        <w:ind w:firstLine="480"/>
        <w:rPr>
          <w:rFonts w:hint="default" w:ascii="Times New Roman" w:hAnsi="Times New Roman" w:eastAsia="微软雅黑" w:cs="Times New Roman"/>
          <w:b w:val="0"/>
          <w:i w:val="0"/>
          <w:sz w:val="24"/>
        </w:rPr>
      </w:pPr>
    </w:p>
    <w:p w14:paraId="5DD7BFEC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</w:t>
      </w:r>
      <w:r>
        <w:rPr>
          <w:rFonts w:hint="default" w:ascii="Times New Roman" w:hAnsi="Times New Roman" w:eastAsia="微软雅黑" w:cs="Times New Roman"/>
          <w:lang w:val="en-US" w:eastAsia="zh-CN"/>
        </w:rPr>
        <w:t>四</w:t>
      </w:r>
      <w:r>
        <w:rPr>
          <w:rFonts w:hint="default" w:ascii="Times New Roman" w:hAnsi="Times New Roman" w:eastAsia="微软雅黑" w:cs="Times New Roman"/>
        </w:rPr>
        <w:t>）科室分布情况</w:t>
      </w:r>
    </w:p>
    <w:p w14:paraId="067EB18D">
      <w:pPr>
        <w:spacing w:after="4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drawing>
          <wp:inline distT="0" distB="0" distL="114300" distR="114300">
            <wp:extent cx="5399405" cy="2115820"/>
            <wp:effectExtent l="0" t="0" r="127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DED7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sz w:val="18"/>
        </w:rPr>
        <w:t>图</w:t>
      </w:r>
      <w:r>
        <w:rPr>
          <w:rFonts w:hint="eastAsia" w:eastAsia="微软雅黑" w:cs="Times New Roman"/>
          <w:b/>
          <w:i w:val="0"/>
          <w:sz w:val="18"/>
          <w:lang w:val="en-US" w:eastAsia="zh-CN"/>
        </w:rPr>
        <w:t>1</w:t>
      </w:r>
      <w:r>
        <w:rPr>
          <w:rFonts w:hint="default" w:ascii="Times New Roman" w:hAnsi="Times New Roman" w:eastAsia="微软雅黑" w:cs="Times New Roman"/>
          <w:b/>
          <w:i w:val="0"/>
          <w:sz w:val="18"/>
        </w:rPr>
        <w:t>-3 智能体科室分布（左：数量；右：占比）</w:t>
      </w:r>
    </w:p>
    <w:p w14:paraId="790C48D5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智能体主要集中于放射科（8个）、检验科（6个）等医技科室，合计占比33.3%；心内科、呼吸科等临床科室各5个。全院尚有25个科室未接入智能体，临床科室覆盖率仍有提升空间。</w:t>
      </w:r>
    </w:p>
    <w:p w14:paraId="716980F2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</w:t>
      </w:r>
      <w:r>
        <w:rPr>
          <w:rFonts w:hint="default" w:ascii="Times New Roman" w:hAnsi="Times New Roman" w:eastAsia="微软雅黑" w:cs="Times New Roman"/>
          <w:lang w:val="en-US" w:eastAsia="zh-CN"/>
        </w:rPr>
        <w:t>五</w:t>
      </w:r>
      <w:r>
        <w:rPr>
          <w:rFonts w:hint="default" w:ascii="Times New Roman" w:hAnsi="Times New Roman" w:eastAsia="微软雅黑" w:cs="Times New Roman"/>
        </w:rPr>
        <w:t>）诊疗环节分布情况</w:t>
      </w:r>
    </w:p>
    <w:p w14:paraId="078AFC96">
      <w:pPr>
        <w:spacing w:after="4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drawing>
          <wp:inline distT="0" distB="0" distL="114300" distR="114300">
            <wp:extent cx="4679950" cy="2264410"/>
            <wp:effectExtent l="0" t="0" r="635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1894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sz w:val="18"/>
        </w:rPr>
        <w:t>图</w:t>
      </w:r>
      <w:r>
        <w:rPr>
          <w:rFonts w:hint="eastAsia" w:eastAsia="微软雅黑" w:cs="Times New Roman"/>
          <w:b/>
          <w:i w:val="0"/>
          <w:sz w:val="18"/>
          <w:lang w:val="en-US" w:eastAsia="zh-CN"/>
        </w:rPr>
        <w:t>1</w:t>
      </w:r>
      <w:r>
        <w:rPr>
          <w:rFonts w:hint="default" w:ascii="Times New Roman" w:hAnsi="Times New Roman" w:eastAsia="微软雅黑" w:cs="Times New Roman"/>
          <w:b/>
          <w:i w:val="0"/>
          <w:sz w:val="18"/>
        </w:rPr>
        <w:t>-4 智能体诊疗环节分布（占比）</w:t>
      </w:r>
    </w:p>
    <w:p w14:paraId="22E08A91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按诊疗环节划分，辅助诊断类智能体最多（10个，占24%），其次为辅助检查类（7个，占17%）与辅助治疗类（5个，占12%）；导诊分诊、预问诊、预约挂号等诊前环节合计9个（占21%）。手术辅助环节智能体仅2个，可结合外科手术管理需求适度补强。</w:t>
      </w:r>
    </w:p>
    <w:p w14:paraId="01B728D9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</w:t>
      </w:r>
      <w:r>
        <w:rPr>
          <w:rFonts w:hint="default" w:ascii="Times New Roman" w:hAnsi="Times New Roman" w:eastAsia="微软雅黑" w:cs="Times New Roman"/>
          <w:lang w:val="en-US" w:eastAsia="zh-CN"/>
        </w:rPr>
        <w:t>六</w:t>
      </w:r>
      <w:r>
        <w:rPr>
          <w:rFonts w:hint="default" w:ascii="Times New Roman" w:hAnsi="Times New Roman" w:eastAsia="微软雅黑" w:cs="Times New Roman"/>
        </w:rPr>
        <w:t>）来源分布情况</w:t>
      </w:r>
    </w:p>
    <w:p w14:paraId="3655386E">
      <w:pPr>
        <w:spacing w:after="4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drawing>
          <wp:inline distT="0" distB="0" distL="114300" distR="114300">
            <wp:extent cx="5111750" cy="1954530"/>
            <wp:effectExtent l="0" t="0" r="317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95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8D44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sz w:val="18"/>
        </w:rPr>
        <w:t>图</w:t>
      </w:r>
      <w:r>
        <w:rPr>
          <w:rFonts w:hint="eastAsia" w:eastAsia="微软雅黑" w:cs="Times New Roman"/>
          <w:b/>
          <w:i w:val="0"/>
          <w:sz w:val="18"/>
          <w:lang w:val="en-US" w:eastAsia="zh-CN"/>
        </w:rPr>
        <w:t>1</w:t>
      </w:r>
      <w:r>
        <w:rPr>
          <w:rFonts w:hint="default" w:ascii="Times New Roman" w:hAnsi="Times New Roman" w:eastAsia="微软雅黑" w:cs="Times New Roman"/>
          <w:b/>
          <w:i w:val="0"/>
          <w:sz w:val="18"/>
        </w:rPr>
        <w:t>-5 智能体来源分布（左：数量；右：占比）</w:t>
      </w:r>
    </w:p>
    <w:p w14:paraId="4D4B1B3A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第三方厂商产品26个（占62%）、自研9个（占21%）、合作研发7个（占17%）。第三方产品占比较高，建议持续加强供应商服务质量考核与交付验收管理，同时培育院内自研能力。</w:t>
      </w:r>
    </w:p>
    <w:p w14:paraId="0BD4DFFE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</w:t>
      </w:r>
      <w:r>
        <w:rPr>
          <w:rFonts w:hint="default" w:ascii="Times New Roman" w:hAnsi="Times New Roman" w:eastAsia="微软雅黑" w:cs="Times New Roman"/>
          <w:lang w:val="en-US" w:eastAsia="zh-CN"/>
        </w:rPr>
        <w:t>七</w:t>
      </w:r>
      <w:r>
        <w:rPr>
          <w:rFonts w:hint="default" w:ascii="Times New Roman" w:hAnsi="Times New Roman" w:eastAsia="微软雅黑" w:cs="Times New Roman"/>
        </w:rPr>
        <w:t>）风险分级情况</w:t>
      </w:r>
    </w:p>
    <w:p w14:paraId="3E819E3D">
      <w:pPr>
        <w:spacing w:after="4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drawing>
          <wp:inline distT="0" distB="0" distL="114300" distR="114300">
            <wp:extent cx="5111750" cy="1954530"/>
            <wp:effectExtent l="0" t="0" r="317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95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F201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sz w:val="18"/>
        </w:rPr>
        <w:t>图</w:t>
      </w:r>
      <w:r>
        <w:rPr>
          <w:rFonts w:hint="eastAsia" w:eastAsia="微软雅黑" w:cs="Times New Roman"/>
          <w:b/>
          <w:i w:val="0"/>
          <w:sz w:val="18"/>
          <w:lang w:val="en-US" w:eastAsia="zh-CN"/>
        </w:rPr>
        <w:t>1</w:t>
      </w:r>
      <w:r>
        <w:rPr>
          <w:rFonts w:hint="default" w:ascii="Times New Roman" w:hAnsi="Times New Roman" w:eastAsia="微软雅黑" w:cs="Times New Roman"/>
          <w:b/>
          <w:i w:val="0"/>
          <w:sz w:val="18"/>
        </w:rPr>
        <w:t>-6 智能体风险分级分布（左：数量；右：占比）</w:t>
      </w:r>
    </w:p>
    <w:p w14:paraId="7B30154B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按平台风险分级管理办法，高度关注类智能体5个（占12%），均为直接参与临床决策类，已全部落实输出内容人工复核机制；中度关注类14个（占33%）、一般关注类23个（占55%）。本期无风险等级上调事项。</w:t>
      </w:r>
    </w:p>
    <w:p w14:paraId="1CD94E15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</w:t>
      </w:r>
      <w:r>
        <w:rPr>
          <w:rFonts w:hint="default" w:ascii="Times New Roman" w:hAnsi="Times New Roman" w:eastAsia="微软雅黑" w:cs="Times New Roman"/>
          <w:lang w:val="en-US" w:eastAsia="zh-CN"/>
        </w:rPr>
        <w:t>八</w:t>
      </w:r>
      <w:r>
        <w:rPr>
          <w:rFonts w:hint="default" w:ascii="Times New Roman" w:hAnsi="Times New Roman" w:eastAsia="微软雅黑" w:cs="Times New Roman"/>
        </w:rPr>
        <w:t>）高频调用智能体排行（TOP10）</w:t>
      </w:r>
    </w:p>
    <w:p w14:paraId="5C0845FF">
      <w:pPr>
        <w:spacing w:after="4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drawing>
          <wp:inline distT="0" distB="0" distL="114300" distR="114300">
            <wp:extent cx="5399405" cy="2699385"/>
            <wp:effectExtent l="0" t="0" r="127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3DA5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sz w:val="18"/>
        </w:rPr>
        <w:t>图</w:t>
      </w:r>
      <w:r>
        <w:rPr>
          <w:rFonts w:hint="eastAsia" w:eastAsia="微软雅黑" w:cs="Times New Roman"/>
          <w:b/>
          <w:i w:val="0"/>
          <w:sz w:val="18"/>
          <w:lang w:val="en-US" w:eastAsia="zh-CN"/>
        </w:rPr>
        <w:t>1-</w:t>
      </w:r>
      <w:r>
        <w:rPr>
          <w:rFonts w:hint="default" w:ascii="Times New Roman" w:hAnsi="Times New Roman" w:eastAsia="微软雅黑" w:cs="Times New Roman"/>
          <w:b/>
          <w:i w:val="0"/>
          <w:sz w:val="18"/>
        </w:rPr>
        <w:t>7 高频调用智能体TOP10（日均调用次数，标注所属科室）</w:t>
      </w:r>
    </w:p>
    <w:p w14:paraId="1D489230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影像报告解读助手（放射科）以日均4200次居首，检验结果解读助手（检验科）、预问诊助手（门诊部）分列第二、三位。TOP10智能体日均调用量合计占全院总调用量的71%，头部集中效应明显，建议对高频智能体优先保障算力资源并加密质量抽检频次。</w:t>
      </w:r>
      <w:r>
        <w:rPr>
          <w:rFonts w:hint="default" w:ascii="Times New Roman" w:hAnsi="Times New Roman" w:eastAsia="微软雅黑" w:cs="Times New Roman"/>
        </w:rPr>
        <w:br w:type="page"/>
      </w:r>
    </w:p>
    <w:p w14:paraId="6FB87146">
      <w:pPr>
        <w:pStyle w:val="3"/>
        <w:rPr>
          <w:rFonts w:hint="default"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  <w:lang w:val="en-US" w:eastAsia="zh-CN"/>
        </w:rPr>
        <w:t>二</w:t>
      </w:r>
      <w:r>
        <w:rPr>
          <w:rFonts w:hint="default" w:ascii="Times New Roman" w:hAnsi="Times New Roman" w:eastAsia="微软雅黑" w:cs="Times New Roman"/>
        </w:rPr>
        <w:t>、医院资源管理情况</w:t>
      </w:r>
    </w:p>
    <w:p w14:paraId="7E2D6C89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（一）对接业务系统总量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9926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  <w:shd w:val="clear" w:color="auto" w:fill="D9E5F1"/>
          </w:tcPr>
          <w:p w14:paraId="6FA44177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1F4E79"/>
                <w:sz w:val="40"/>
              </w:rPr>
              <w:t>12</w:t>
            </w:r>
          </w:p>
        </w:tc>
      </w:tr>
      <w:tr w14:paraId="74329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3C9BE9D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18"/>
              </w:rPr>
              <w:t>医院资源管理中心对接业务系统数量（个）</w:t>
            </w:r>
          </w:p>
        </w:tc>
      </w:tr>
    </w:tbl>
    <w:p w14:paraId="05E3458F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医院资源管理中心已对接HIS、EMR、LIS、PACS、手麻、病案等12个业务系统，为智能体提供统一的数据与服务接入通道。</w:t>
      </w:r>
    </w:p>
    <w:p w14:paraId="6246634D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（二）各智能体对接系统数量排行</w:t>
      </w:r>
    </w:p>
    <w:p w14:paraId="679F0183">
      <w:pPr>
        <w:spacing w:after="4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drawing>
          <wp:inline distT="0" distB="0" distL="114300" distR="114300">
            <wp:extent cx="5111750" cy="2323465"/>
            <wp:effectExtent l="0" t="0" r="317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32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9EAD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sz w:val="18"/>
        </w:rPr>
        <w:t>图</w:t>
      </w:r>
      <w:r>
        <w:rPr>
          <w:rFonts w:hint="eastAsia" w:eastAsia="微软雅黑" w:cs="Times New Roman"/>
          <w:b/>
          <w:i w:val="0"/>
          <w:sz w:val="18"/>
          <w:lang w:val="en-US" w:eastAsia="zh-CN"/>
        </w:rPr>
        <w:t>2</w:t>
      </w:r>
      <w:r>
        <w:rPr>
          <w:rFonts w:hint="default" w:ascii="Times New Roman" w:hAnsi="Times New Roman" w:eastAsia="微软雅黑" w:cs="Times New Roman"/>
          <w:b/>
          <w:i w:val="0"/>
          <w:sz w:val="18"/>
        </w:rPr>
        <w:t>-1 各智能体对接业务系统数量排行（个）</w:t>
      </w:r>
    </w:p>
    <w:p w14:paraId="7EF0D0C4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影像报告解读助手与病历质控助手各对接5个业务系统，为对接复杂度最高的智能体；对接3个及以上系统的智能体共7个，此类智能体接口依赖多，须重点纳入接口变更影响评估范围。</w:t>
      </w:r>
    </w:p>
    <w:p w14:paraId="19722BE4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（三）各智能体对接系统具体情况</w:t>
      </w:r>
    </w:p>
    <w:p w14:paraId="12A9C3CE">
      <w:pPr>
        <w:spacing w:after="40"/>
        <w:jc w:val="center"/>
        <w:rPr>
          <w:rFonts w:hint="default" w:ascii="Times New Roman" w:hAnsi="Times New Roman" w:eastAsia="微软雅黑" w:cs="Times New Roman"/>
        </w:rPr>
      </w:pPr>
      <w:r>
        <w:drawing>
          <wp:inline distT="0" distB="0" distL="114300" distR="114300">
            <wp:extent cx="5679440" cy="2792730"/>
            <wp:effectExtent l="0" t="0" r="6985" b="762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78F1B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sz w:val="18"/>
        </w:rPr>
        <w:t>图</w:t>
      </w:r>
      <w:r>
        <w:rPr>
          <w:rFonts w:hint="eastAsia" w:eastAsia="微软雅黑" w:cs="Times New Roman"/>
          <w:b/>
          <w:i w:val="0"/>
          <w:sz w:val="18"/>
          <w:lang w:val="en-US" w:eastAsia="zh-CN"/>
        </w:rPr>
        <w:t>2</w:t>
      </w:r>
      <w:r>
        <w:rPr>
          <w:rFonts w:hint="default" w:ascii="Times New Roman" w:hAnsi="Times New Roman" w:eastAsia="微软雅黑" w:cs="Times New Roman"/>
          <w:b/>
          <w:i w:val="0"/>
          <w:sz w:val="18"/>
        </w:rPr>
        <w:t>-2 智能体×业务系统对接矩阵</w:t>
      </w:r>
    </w:p>
    <w:p w14:paraId="038CCC79">
      <w:pPr>
        <w:ind w:firstLine="480"/>
        <w:rPr>
          <w:rFonts w:hint="default" w:ascii="Times New Roman" w:hAnsi="Times New Roman" w:eastAsia="微软雅黑" w:cs="Times New Roman"/>
          <w:b w:val="0"/>
          <w:i w:val="0"/>
          <w:sz w:val="24"/>
        </w:rPr>
      </w:pPr>
      <w:r>
        <w:rPr>
          <w:rFonts w:hint="eastAsia" w:ascii="Times New Roman" w:hAnsi="Times New Roman" w:eastAsia="微软雅黑" w:cs="Times New Roman"/>
          <w:b w:val="0"/>
          <w:i/>
          <w:color w:val="595959"/>
          <w:sz w:val="18"/>
        </w:rPr>
        <w:t>颜色越深表示对接强度越高（调用量越大）。空白格表示未对接。此图可快速识别对接密度和空白区域。</w:t>
      </w:r>
    </w:p>
    <w:p w14:paraId="5B3EF080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从对接矩阵看，HIS为全部智能体的基础依赖系统，EMR次之（7个智能体对接）；手麻、病案等专科系统对接集中于少数智能体。</w:t>
      </w:r>
    </w:p>
    <w:p w14:paraId="2E64D94F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br w:type="page"/>
      </w:r>
    </w:p>
    <w:p w14:paraId="3CE6723E">
      <w:pPr>
        <w:pStyle w:val="3"/>
        <w:rPr>
          <w:rFonts w:hint="default"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  <w:lang w:val="en-US" w:eastAsia="zh-CN"/>
        </w:rPr>
        <w:t>三</w:t>
      </w:r>
      <w:r>
        <w:rPr>
          <w:rFonts w:hint="default" w:ascii="Times New Roman" w:hAnsi="Times New Roman" w:eastAsia="微软雅黑" w:cs="Times New Roman"/>
        </w:rPr>
        <w:t>、准入评测情况</w:t>
      </w:r>
    </w:p>
    <w:p w14:paraId="6CC1361A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（一）评测进度</w:t>
      </w:r>
    </w:p>
    <w:p w14:paraId="11E52F32">
      <w:pPr>
        <w:spacing w:after="4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drawing>
          <wp:inline distT="0" distB="0" distL="114300" distR="114300">
            <wp:extent cx="4499610" cy="1767840"/>
            <wp:effectExtent l="0" t="0" r="571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76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7C93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sz w:val="18"/>
        </w:rPr>
        <w:t>图</w:t>
      </w:r>
      <w:r>
        <w:rPr>
          <w:rFonts w:hint="eastAsia" w:eastAsia="微软雅黑" w:cs="Times New Roman"/>
          <w:b/>
          <w:i w:val="0"/>
          <w:sz w:val="18"/>
          <w:lang w:val="en-US" w:eastAsia="zh-CN"/>
        </w:rPr>
        <w:t>3</w:t>
      </w:r>
      <w:r>
        <w:rPr>
          <w:rFonts w:hint="default" w:ascii="Times New Roman" w:hAnsi="Times New Roman" w:eastAsia="微软雅黑" w:cs="Times New Roman"/>
          <w:b/>
          <w:i w:val="0"/>
          <w:sz w:val="18"/>
        </w:rPr>
        <w:t>-1 准入评测进度分布（项）</w:t>
      </w:r>
    </w:p>
    <w:p w14:paraId="7AD16123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累计发起准入评测42项，其中已完成30项、评测中7项、待评测5项，完成率71.4%；平均评测周期</w:t>
      </w:r>
      <w:r>
        <w:rPr>
          <w:rFonts w:hint="eastAsia" w:eastAsia="微软雅黑" w:cs="Times New Roman"/>
          <w:b w:val="0"/>
          <w:i w:val="0"/>
          <w:sz w:val="24"/>
          <w:lang w:val="en-US" w:eastAsia="zh-CN"/>
        </w:rPr>
        <w:t>2</w:t>
      </w: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天，较上期缩短</w:t>
      </w:r>
      <w:r>
        <w:rPr>
          <w:rFonts w:hint="eastAsia" w:eastAsia="微软雅黑" w:cs="Times New Roman"/>
          <w:b w:val="0"/>
          <w:i w:val="0"/>
          <w:sz w:val="24"/>
          <w:lang w:val="en-US" w:eastAsia="zh-CN"/>
        </w:rPr>
        <w:t>0.5</w:t>
      </w: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天。</w:t>
      </w:r>
    </w:p>
    <w:p w14:paraId="28B8E5E4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（二）评测结果</w:t>
      </w:r>
    </w:p>
    <w:p w14:paraId="08461026">
      <w:pPr>
        <w:spacing w:after="4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drawing>
          <wp:inline distT="0" distB="0" distL="114300" distR="114300">
            <wp:extent cx="3599815" cy="2249805"/>
            <wp:effectExtent l="0" t="0" r="63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AE42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sz w:val="18"/>
        </w:rPr>
        <w:t>图</w:t>
      </w:r>
      <w:r>
        <w:rPr>
          <w:rFonts w:hint="eastAsia" w:eastAsia="微软雅黑" w:cs="Times New Roman"/>
          <w:b/>
          <w:i w:val="0"/>
          <w:sz w:val="18"/>
          <w:lang w:val="en-US" w:eastAsia="zh-CN"/>
        </w:rPr>
        <w:t>3</w:t>
      </w:r>
      <w:r>
        <w:rPr>
          <w:rFonts w:hint="default" w:ascii="Times New Roman" w:hAnsi="Times New Roman" w:eastAsia="微软雅黑" w:cs="Times New Roman"/>
          <w:b/>
          <w:i w:val="0"/>
          <w:sz w:val="18"/>
        </w:rPr>
        <w:t>-2 评测结果占比</w:t>
      </w:r>
    </w:p>
    <w:p w14:paraId="790E7BB6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已完成评测30项中，准入通过24项（80%）、退回修改6项（20%），通过率环比提升5个百分点。</w:t>
      </w:r>
    </w:p>
    <w:p w14:paraId="51833418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（三）退回原因分析</w:t>
      </w:r>
    </w:p>
    <w:p w14:paraId="5D51A966">
      <w:pPr>
        <w:spacing w:after="4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drawing>
          <wp:inline distT="0" distB="0" distL="114300" distR="114300">
            <wp:extent cx="3959860" cy="275463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5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36F2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sz w:val="18"/>
        </w:rPr>
        <w:t>图</w:t>
      </w:r>
      <w:r>
        <w:rPr>
          <w:rFonts w:hint="eastAsia" w:eastAsia="微软雅黑" w:cs="Times New Roman"/>
          <w:b/>
          <w:i w:val="0"/>
          <w:sz w:val="18"/>
          <w:lang w:val="en-US" w:eastAsia="zh-CN"/>
        </w:rPr>
        <w:t>3</w:t>
      </w:r>
      <w:r>
        <w:rPr>
          <w:rFonts w:hint="default" w:ascii="Times New Roman" w:hAnsi="Times New Roman" w:eastAsia="微软雅黑" w:cs="Times New Roman"/>
          <w:b/>
          <w:i w:val="0"/>
          <w:sz w:val="18"/>
        </w:rPr>
        <w:t>-3 退回原因五维安全分布（项）</w:t>
      </w:r>
    </w:p>
    <w:p w14:paraId="47E90DBC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对6项退回修改按输入安全、输出安全、行为安全、数据安全、工具安全五个维度归类：输出安全问题最多（3项），主要表现为医学内容准确率不达标与不当表述；输入安全、行为安全、数据安全各1项；工具安全维度表现最好，未发现问题。建议针对输出安全维度，在供应商接入前增加预评测环节，并强化医学知识库对齐要求。</w:t>
      </w:r>
    </w:p>
    <w:p w14:paraId="10B1C055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br w:type="page"/>
      </w:r>
    </w:p>
    <w:p w14:paraId="175BC37F">
      <w:pPr>
        <w:pStyle w:val="3"/>
        <w:rPr>
          <w:rFonts w:hint="default"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  <w:lang w:val="en-US" w:eastAsia="zh-CN"/>
        </w:rPr>
        <w:t>四</w:t>
      </w:r>
      <w:r>
        <w:rPr>
          <w:rFonts w:hint="default" w:ascii="Times New Roman" w:hAnsi="Times New Roman" w:eastAsia="微软雅黑" w:cs="Times New Roman"/>
        </w:rPr>
        <w:t>、运行监测情况</w:t>
      </w:r>
    </w:p>
    <w:p w14:paraId="08090628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（一）告警情况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5B51A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2" w:type="dxa"/>
            <w:shd w:val="clear" w:color="auto" w:fill="FDEFDF"/>
          </w:tcPr>
          <w:p w14:paraId="641C99A8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E86C00"/>
                <w:sz w:val="36"/>
              </w:rPr>
              <w:t>68</w:t>
            </w:r>
          </w:p>
        </w:tc>
        <w:tc>
          <w:tcPr>
            <w:tcW w:w="2982" w:type="dxa"/>
            <w:shd w:val="clear" w:color="auto" w:fill="D9E5F1"/>
          </w:tcPr>
          <w:p w14:paraId="58CC5F4D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1F4E79"/>
                <w:sz w:val="36"/>
              </w:rPr>
              <w:t>3</w:t>
            </w:r>
          </w:p>
        </w:tc>
        <w:tc>
          <w:tcPr>
            <w:tcW w:w="2993" w:type="dxa"/>
            <w:shd w:val="clear" w:color="auto" w:fill="D9E5F1"/>
          </w:tcPr>
          <w:p w14:paraId="62D94D2D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color w:val="1F4E79"/>
                <w:sz w:val="36"/>
              </w:rPr>
              <w:t>42分钟</w:t>
            </w:r>
          </w:p>
        </w:tc>
      </w:tr>
      <w:tr w14:paraId="7D2B3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2" w:type="dxa"/>
          </w:tcPr>
          <w:p w14:paraId="62775DD5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18"/>
              </w:rPr>
              <w:t>告警次数（次）</w:t>
            </w:r>
          </w:p>
        </w:tc>
        <w:tc>
          <w:tcPr>
            <w:tcW w:w="2982" w:type="dxa"/>
          </w:tcPr>
          <w:p w14:paraId="60645BCC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18"/>
              </w:rPr>
              <w:t>故障次数（次）</w:t>
            </w:r>
          </w:p>
        </w:tc>
        <w:tc>
          <w:tcPr>
            <w:tcW w:w="2993" w:type="dxa"/>
          </w:tcPr>
          <w:p w14:paraId="5A5E9182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18"/>
              </w:rPr>
              <w:t>故障平均恢复时间</w:t>
            </w:r>
          </w:p>
        </w:tc>
      </w:tr>
    </w:tbl>
    <w:p w14:paraId="386ED49D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/>
          <w:color w:val="595959"/>
          <w:sz w:val="18"/>
        </w:rPr>
        <w:t>口径：告警为智能体接入运行后产生的告警次数（较轻）；故障平均恢复时间为运行状态异常的智能体恢复正常的平均耗时。</w:t>
      </w:r>
    </w:p>
    <w:p w14:paraId="24E77F5F">
      <w:pPr>
        <w:spacing w:after="40"/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drawing>
          <wp:inline distT="0" distB="0" distL="114300" distR="114300">
            <wp:extent cx="5219700" cy="19958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9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B9D3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/>
          <w:i w:val="0"/>
          <w:sz w:val="18"/>
        </w:rPr>
        <w:t>图</w:t>
      </w:r>
      <w:r>
        <w:rPr>
          <w:rFonts w:hint="eastAsia" w:eastAsia="微软雅黑" w:cs="Times New Roman"/>
          <w:b/>
          <w:i w:val="0"/>
          <w:sz w:val="18"/>
          <w:lang w:val="en-US" w:eastAsia="zh-CN"/>
        </w:rPr>
        <w:t>4</w:t>
      </w:r>
      <w:r>
        <w:rPr>
          <w:rFonts w:hint="default" w:ascii="Times New Roman" w:hAnsi="Times New Roman" w:eastAsia="微软雅黑" w:cs="Times New Roman"/>
          <w:b/>
          <w:i w:val="0"/>
          <w:sz w:val="18"/>
        </w:rPr>
        <w:t>-1 告警次数周度趋势（近12个周期，次）</w:t>
      </w:r>
    </w:p>
    <w:p w14:paraId="666B02C6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近12周累计产生告警68次，周均5.7次，整体呈波动下降趋势；峰值出现在第1周（8次），与月初调用高峰重合。统计周期内发生故障3次，故障平均恢复时间42分钟，均在应急预案时限内完成处置。</w:t>
      </w:r>
    </w:p>
    <w:p w14:paraId="31A47FC7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（二）异常智能体情况说明</w:t>
      </w:r>
    </w:p>
    <w:p w14:paraId="265995D6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截至报告导出时，全院有2个智能体运行状态为异常：一是××检验结果解读助手，因LIS接口网关超时导致响应失败，正在实施接口扩容，预计××日恢复；二是××随访管理助手，因供应商模型服务升级临时停用，已按变更流程报备，预计××日恢复。异常期间相关业务均已切换至人工流程，未对临床工作造成影响。</w:t>
      </w:r>
    </w:p>
    <w:p w14:paraId="5891B666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（三）故障原因统计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34963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4" w:type="dxa"/>
            <w:shd w:val="clear" w:color="auto" w:fill="D9E5F1"/>
          </w:tcPr>
          <w:p w14:paraId="0E9924BA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sz w:val="21"/>
              </w:rPr>
              <w:t>监控维度</w:t>
            </w:r>
          </w:p>
        </w:tc>
        <w:tc>
          <w:tcPr>
            <w:tcW w:w="1587" w:type="dxa"/>
            <w:shd w:val="clear" w:color="auto" w:fill="D9E5F1"/>
          </w:tcPr>
          <w:p w14:paraId="5B898B9E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sz w:val="21"/>
              </w:rPr>
              <w:t>故障/告警次数</w:t>
            </w:r>
          </w:p>
        </w:tc>
        <w:tc>
          <w:tcPr>
            <w:tcW w:w="1134" w:type="dxa"/>
            <w:shd w:val="clear" w:color="auto" w:fill="D9E5F1"/>
          </w:tcPr>
          <w:p w14:paraId="0B81F033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sz w:val="21"/>
              </w:rPr>
              <w:t>占比</w:t>
            </w:r>
          </w:p>
        </w:tc>
        <w:tc>
          <w:tcPr>
            <w:tcW w:w="4422" w:type="dxa"/>
            <w:shd w:val="clear" w:color="auto" w:fill="D9E5F1"/>
          </w:tcPr>
          <w:p w14:paraId="142D2468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sz w:val="21"/>
              </w:rPr>
              <w:t>主要成因分析</w:t>
            </w:r>
          </w:p>
        </w:tc>
      </w:tr>
      <w:tr w14:paraId="5C70C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656BABD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业务监控</w:t>
            </w:r>
          </w:p>
        </w:tc>
        <w:tc>
          <w:tcPr>
            <w:tcW w:w="1587" w:type="dxa"/>
          </w:tcPr>
          <w:p w14:paraId="1FD42427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31</w:t>
            </w:r>
          </w:p>
        </w:tc>
        <w:tc>
          <w:tcPr>
            <w:tcW w:w="1134" w:type="dxa"/>
          </w:tcPr>
          <w:p w14:paraId="6946F78A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43.7%</w:t>
            </w:r>
          </w:p>
        </w:tc>
        <w:tc>
          <w:tcPr>
            <w:tcW w:w="4422" w:type="dxa"/>
          </w:tcPr>
          <w:p w14:paraId="40031407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高峰时段接口调用超时、返回结果超出预期格式</w:t>
            </w:r>
          </w:p>
        </w:tc>
      </w:tr>
      <w:tr w14:paraId="65261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DBDAB7E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状态监控</w:t>
            </w:r>
          </w:p>
        </w:tc>
        <w:tc>
          <w:tcPr>
            <w:tcW w:w="1587" w:type="dxa"/>
          </w:tcPr>
          <w:p w14:paraId="2BF19861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w="1134" w:type="dxa"/>
          </w:tcPr>
          <w:p w14:paraId="6E883B62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31.0%</w:t>
            </w:r>
          </w:p>
        </w:tc>
        <w:tc>
          <w:tcPr>
            <w:tcW w:w="4422" w:type="dxa"/>
          </w:tcPr>
          <w:p w14:paraId="4D0C156D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模型服务响应缓慢、服务短时不可用</w:t>
            </w:r>
          </w:p>
        </w:tc>
      </w:tr>
      <w:tr w14:paraId="62884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7E9014B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成本监控</w:t>
            </w:r>
          </w:p>
        </w:tc>
        <w:tc>
          <w:tcPr>
            <w:tcW w:w="1587" w:type="dxa"/>
          </w:tcPr>
          <w:p w14:paraId="622184EB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w="1134" w:type="dxa"/>
          </w:tcPr>
          <w:p w14:paraId="273ABA3C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14.1%</w:t>
            </w:r>
          </w:p>
        </w:tc>
        <w:tc>
          <w:tcPr>
            <w:tcW w:w="4422" w:type="dxa"/>
          </w:tcPr>
          <w:p w14:paraId="3178F440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个别智能体调用量突增导致算力成本超出预算阈值</w:t>
            </w:r>
          </w:p>
        </w:tc>
      </w:tr>
      <w:tr w14:paraId="71DCA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E0EF988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安全监控</w:t>
            </w:r>
          </w:p>
        </w:tc>
        <w:tc>
          <w:tcPr>
            <w:tcW w:w="1587" w:type="dxa"/>
          </w:tcPr>
          <w:p w14:paraId="788E8C4D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w="1134" w:type="dxa"/>
          </w:tcPr>
          <w:p w14:paraId="02168C2A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11.2%</w:t>
            </w:r>
          </w:p>
        </w:tc>
        <w:tc>
          <w:tcPr>
            <w:tcW w:w="4422" w:type="dxa"/>
          </w:tcPr>
          <w:p w14:paraId="459CDBBA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输出内容触发敏感词拦截、异常频次访问</w:t>
            </w:r>
          </w:p>
        </w:tc>
      </w:tr>
    </w:tbl>
    <w:p w14:paraId="74604B97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故障与告警主要集中于业务监控与状态监控维度（合计74.7%），成因均与高峰期算力与接口资源紧张相关；成本监控告警提示部分智能体调用增长快于预算，需同步优化配额管理。</w:t>
      </w:r>
    </w:p>
    <w:p w14:paraId="32898BA2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（四）典型问题及处理方案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958"/>
        <w:gridCol w:w="1342"/>
        <w:gridCol w:w="1805"/>
        <w:gridCol w:w="1493"/>
        <w:gridCol w:w="1493"/>
      </w:tblGrid>
      <w:tr w14:paraId="0C1A8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67" w:type="dxa"/>
            <w:shd w:val="clear" w:color="auto" w:fill="D9E5F1"/>
          </w:tcPr>
          <w:p w14:paraId="3058ABBB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sz w:val="21"/>
              </w:rPr>
              <w:t>序号</w:t>
            </w:r>
          </w:p>
        </w:tc>
        <w:tc>
          <w:tcPr>
            <w:tcW w:w="1958" w:type="dxa"/>
            <w:shd w:val="clear" w:color="auto" w:fill="D9E5F1"/>
          </w:tcPr>
          <w:p w14:paraId="121D3335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sz w:val="21"/>
              </w:rPr>
              <w:t>典型问题</w:t>
            </w:r>
          </w:p>
        </w:tc>
        <w:tc>
          <w:tcPr>
            <w:tcW w:w="1342" w:type="dxa"/>
            <w:shd w:val="clear" w:color="auto" w:fill="D9E5F1"/>
          </w:tcPr>
          <w:p w14:paraId="32242EA1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sz w:val="21"/>
              </w:rPr>
              <w:t>影响范围</w:t>
            </w:r>
          </w:p>
        </w:tc>
        <w:tc>
          <w:tcPr>
            <w:tcW w:w="1805" w:type="dxa"/>
            <w:shd w:val="clear" w:color="auto" w:fill="D9E5F1"/>
          </w:tcPr>
          <w:p w14:paraId="46E3BFAE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sz w:val="21"/>
              </w:rPr>
              <w:t>处理方案</w:t>
            </w:r>
          </w:p>
        </w:tc>
        <w:tc>
          <w:tcPr>
            <w:tcW w:w="1493" w:type="dxa"/>
            <w:shd w:val="clear" w:color="auto" w:fill="D9E5F1"/>
          </w:tcPr>
          <w:p w14:paraId="5F35F374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sz w:val="21"/>
              </w:rPr>
              <w:t>处理进展</w:t>
            </w:r>
          </w:p>
        </w:tc>
        <w:tc>
          <w:tcPr>
            <w:tcW w:w="1493" w:type="dxa"/>
            <w:shd w:val="clear" w:color="auto" w:fill="D9E5F1"/>
          </w:tcPr>
          <w:p w14:paraId="44262CDA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/>
                <w:i w:val="0"/>
                <w:sz w:val="21"/>
              </w:rPr>
              <w:t>责任方</w:t>
            </w:r>
          </w:p>
        </w:tc>
      </w:tr>
      <w:tr w14:paraId="57453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7" w:type="dxa"/>
          </w:tcPr>
          <w:p w14:paraId="23232664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w="1958" w:type="dxa"/>
          </w:tcPr>
          <w:p w14:paraId="65417525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影像报告解读助手高峰期响应超时</w:t>
            </w:r>
          </w:p>
        </w:tc>
        <w:tc>
          <w:tcPr>
            <w:tcW w:w="1342" w:type="dxa"/>
          </w:tcPr>
          <w:p w14:paraId="3143F5F8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放射科</w:t>
            </w:r>
          </w:p>
        </w:tc>
        <w:tc>
          <w:tcPr>
            <w:tcW w:w="1805" w:type="dxa"/>
          </w:tcPr>
          <w:p w14:paraId="72AD71E8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接口网关扩容，错峰调度</w:t>
            </w:r>
          </w:p>
        </w:tc>
        <w:tc>
          <w:tcPr>
            <w:tcW w:w="1493" w:type="dxa"/>
          </w:tcPr>
          <w:p w14:paraId="6DCC9D19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已完成</w:t>
            </w:r>
          </w:p>
        </w:tc>
        <w:tc>
          <w:tcPr>
            <w:tcW w:w="1493" w:type="dxa"/>
          </w:tcPr>
          <w:p w14:paraId="2B735A18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信息中心</w:t>
            </w:r>
          </w:p>
        </w:tc>
      </w:tr>
      <w:tr w14:paraId="5A269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7" w:type="dxa"/>
          </w:tcPr>
          <w:p w14:paraId="33F6497C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w="1958" w:type="dxa"/>
          </w:tcPr>
          <w:p w14:paraId="56B56A80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用药审核助手对罕见病用药提示不准确</w:t>
            </w:r>
          </w:p>
        </w:tc>
        <w:tc>
          <w:tcPr>
            <w:tcW w:w="1342" w:type="dxa"/>
          </w:tcPr>
          <w:p w14:paraId="361D0BC6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药剂科</w:t>
            </w:r>
          </w:p>
        </w:tc>
        <w:tc>
          <w:tcPr>
            <w:tcW w:w="1805" w:type="dxa"/>
          </w:tcPr>
          <w:p w14:paraId="569FAC78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补充语料复测，上线前人工复核</w:t>
            </w:r>
          </w:p>
        </w:tc>
        <w:tc>
          <w:tcPr>
            <w:tcW w:w="1493" w:type="dxa"/>
          </w:tcPr>
          <w:p w14:paraId="526DAB73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进行中</w:t>
            </w:r>
          </w:p>
        </w:tc>
        <w:tc>
          <w:tcPr>
            <w:tcW w:w="1493" w:type="dxa"/>
          </w:tcPr>
          <w:p w14:paraId="2BE7CA45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供应商</w:t>
            </w:r>
          </w:p>
        </w:tc>
      </w:tr>
      <w:tr w14:paraId="16916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7" w:type="dxa"/>
          </w:tcPr>
          <w:p w14:paraId="31EEC568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w="1958" w:type="dxa"/>
          </w:tcPr>
          <w:p w14:paraId="537BC5F2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随访管理助手消息推送重复</w:t>
            </w:r>
          </w:p>
        </w:tc>
        <w:tc>
          <w:tcPr>
            <w:tcW w:w="1342" w:type="dxa"/>
          </w:tcPr>
          <w:p w14:paraId="03380AB9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护理部</w:t>
            </w:r>
          </w:p>
        </w:tc>
        <w:tc>
          <w:tcPr>
            <w:tcW w:w="1805" w:type="dxa"/>
          </w:tcPr>
          <w:p w14:paraId="02AA403F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修复推送去重逻辑并回归测试</w:t>
            </w:r>
          </w:p>
        </w:tc>
        <w:tc>
          <w:tcPr>
            <w:tcW w:w="1493" w:type="dxa"/>
          </w:tcPr>
          <w:p w14:paraId="1A756631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已完成</w:t>
            </w:r>
          </w:p>
        </w:tc>
        <w:tc>
          <w:tcPr>
            <w:tcW w:w="1493" w:type="dxa"/>
          </w:tcPr>
          <w:p w14:paraId="534755AE">
            <w:pPr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i w:val="0"/>
                <w:sz w:val="20"/>
              </w:rPr>
              <w:t>供应商</w:t>
            </w:r>
          </w:p>
        </w:tc>
      </w:tr>
    </w:tbl>
    <w:p w14:paraId="48537605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本期典型问题3项，2项已闭环、1项处理中；未闭环事项已列入下期重点跟踪清单。</w:t>
      </w:r>
      <w:r>
        <w:rPr>
          <w:rFonts w:hint="default" w:ascii="Times New Roman" w:hAnsi="Times New Roman" w:eastAsia="微软雅黑" w:cs="Times New Roman"/>
        </w:rPr>
        <w:br w:type="page"/>
      </w:r>
    </w:p>
    <w:p w14:paraId="1FDFE8CA">
      <w:pPr>
        <w:pStyle w:val="3"/>
        <w:rPr>
          <w:rFonts w:hint="default"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  <w:lang w:val="en-US" w:eastAsia="zh-CN"/>
        </w:rPr>
        <w:t>五</w:t>
      </w:r>
      <w:bookmarkStart w:id="0" w:name="_GoBack"/>
      <w:bookmarkEnd w:id="0"/>
      <w:r>
        <w:rPr>
          <w:rFonts w:hint="default" w:ascii="Times New Roman" w:hAnsi="Times New Roman" w:eastAsia="微软雅黑" w:cs="Times New Roman"/>
        </w:rPr>
        <w:t>、报告总结</w:t>
      </w:r>
    </w:p>
    <w:p w14:paraId="17E7366C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（一）存在的问题</w:t>
      </w:r>
    </w:p>
    <w:p w14:paraId="4BE6E300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一是科室覆盖不均衡。智能体集中于医技科室，临床科室与护理单元覆盖率偏低，全院仍有25个科室未接入。</w:t>
      </w:r>
    </w:p>
    <w:p w14:paraId="5CDFAA64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二是评测退回率仍处较高水平。准入评测退回率达20%，问题集中于输出安全维度，供应商交付质量参差不齐。</w:t>
      </w:r>
    </w:p>
    <w:p w14:paraId="422FFE51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三是高峰期资源保障不足。业务与状态监控告警合计占74.7%，均与高峰时段算力、接口资源紧张相关，LIS接口异常尚未完全闭环。</w:t>
      </w:r>
    </w:p>
    <w:p w14:paraId="345CEAE8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四是成本增长需要关注。部分高频智能体调用量增长快于预算安排，成本监控告警10次，配额与预算机制有待完善。</w:t>
      </w:r>
    </w:p>
    <w:p w14:paraId="0D2F5E76">
      <w:pPr>
        <w:pStyle w:val="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（二）下一步工作建议</w:t>
      </w:r>
    </w:p>
    <w:p w14:paraId="2A75A9DE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一是制定临床科室智能体接入推广计划，结合科室需求优先推进未覆盖科室的场景落地，力争年底科室覆盖率达到80%。</w:t>
      </w:r>
    </w:p>
    <w:p w14:paraId="27085EF1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二是建立供应商预评测机制，将输出安全指标纳入合同验收条款与供应商考核，从源头降低评测退回率。</w:t>
      </w:r>
    </w:p>
    <w:p w14:paraId="41AF5E27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三是实施算力与接口资源扩容，完成接口网关扩容与LIS接口专项治理，对TOP10高频智能体实行资源优先保障。</w:t>
      </w:r>
    </w:p>
    <w:p w14:paraId="3F9EFBAF">
      <w:pPr>
        <w:ind w:firstLine="480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四是完善成本配额管理，按智能体设定调用与成本预算阈值，超限自动预警并纳入月度运营分析。</w:t>
      </w:r>
    </w:p>
    <w:p w14:paraId="5CB90D78">
      <w:pPr>
        <w:rPr>
          <w:rFonts w:hint="default" w:ascii="Times New Roman" w:hAnsi="Times New Roman" w:eastAsia="微软雅黑" w:cs="Times New Roman"/>
        </w:rPr>
      </w:pPr>
    </w:p>
    <w:p w14:paraId="5C503736">
      <w:pPr>
        <w:jc w:val="right"/>
        <w:rPr>
          <w:rFonts w:hint="eastAsia" w:ascii="Times New Roman" w:hAnsi="Times New Roman" w:eastAsia="微软雅黑" w:cs="Times New Roman"/>
          <w:lang w:eastAsia="zh-C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××××医院</w:t>
      </w:r>
      <w:r>
        <w:rPr>
          <w:rFonts w:hint="eastAsia" w:eastAsia="微软雅黑" w:cs="Times New Roman"/>
          <w:b w:val="0"/>
          <w:i w:val="0"/>
          <w:sz w:val="24"/>
          <w:lang w:val="en-US" w:eastAsia="zh-CN"/>
        </w:rPr>
        <w:t>信息科</w:t>
      </w:r>
    </w:p>
    <w:p w14:paraId="1CC0AB8A">
      <w:pPr>
        <w:jc w:val="right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4"/>
        </w:rPr>
        <w:t>2026年7月×日</w:t>
      </w:r>
    </w:p>
    <w:p w14:paraId="57F0016E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br w:type="page"/>
      </w:r>
    </w:p>
    <w:p w14:paraId="42C316AD">
      <w:pPr>
        <w:pStyle w:val="3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</w:rPr>
        <w:t>附：编制说明</w:t>
      </w:r>
    </w:p>
    <w:p w14:paraId="0D3B12D0">
      <w:pPr>
        <w:pStyle w:val="1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2"/>
        </w:rPr>
        <w:t>本报告由智能体管理平台基于台账聚合数据一键生成，统计口径统一，统计周期与筛选范围（科室/时间）见封面。</w:t>
      </w:r>
    </w:p>
    <w:p w14:paraId="63664FF5">
      <w:pPr>
        <w:pStyle w:val="1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2"/>
        </w:rPr>
        <w:t>各模块图表由系统按实时数据自动生成，本模板内全部数据与图表均为示例；比率类指标在图表处注明分子分母口径。</w:t>
      </w:r>
    </w:p>
    <w:p w14:paraId="6F3E34C6">
      <w:pPr>
        <w:pStyle w:val="14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b w:val="0"/>
          <w:i w:val="0"/>
          <w:sz w:val="22"/>
        </w:rPr>
        <w:t>各模块文字综述由智能助手自动生成初稿，信息科管理员可在平台编辑页在线调整后发布。</w:t>
      </w:r>
    </w:p>
    <w:sectPr>
      <w:headerReference r:id="rId5" w:type="default"/>
      <w:footerReference r:id="rId6" w:type="default"/>
      <w:pgSz w:w="11906" w:h="16838"/>
      <w:pgMar w:top="1361" w:right="1474" w:bottom="1361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85B99">
    <w:pPr>
      <w:pStyle w:val="24"/>
      <w:jc w:val="center"/>
    </w:pPr>
    <w:r>
      <w:rPr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1BF50">
    <w:pPr>
      <w:pStyle w:val="25"/>
      <w:jc w:val="center"/>
    </w:pPr>
    <w:r>
      <w:rPr>
        <w:rFonts w:ascii="Times New Roman" w:hAnsi="Times New Roman" w:eastAsia="宋体"/>
        <w:color w:val="595959"/>
        <w:sz w:val="18"/>
      </w:rPr>
      <w:t>全院智能体运行管理情况报告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286F31"/>
    <w:rsid w:val="23D444D9"/>
    <w:rsid w:val="5BBF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6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2470</Words>
  <Characters>2677</Characters>
  <Lines>0</Lines>
  <Paragraphs>0</Paragraphs>
  <TotalTime>12</TotalTime>
  <ScaleCrop>false</ScaleCrop>
  <LinksUpToDate>false</LinksUpToDate>
  <CharactersWithSpaces>2696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熊莹</cp:lastModifiedBy>
  <dcterms:modified xsi:type="dcterms:W3CDTF">2026-07-05T06:56:42Z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eyJoZGlkIjoiMGU1MzIwNjNmYmYxOGZiYjQ2NjEzZjU2OWE3ZWQ3ZWYiLCJ1c2VySWQiOiI2MTgzNjcyODgifQ==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444B43A9F57D4D1F9E980CEB54438EC3_13</vt:lpwstr>
  </property>
</Properties>
</file>